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F08D" w14:textId="77777777" w:rsidR="00C544D2" w:rsidRPr="00B97BAC" w:rsidRDefault="00C544D2" w:rsidP="00C544D2">
      <w:pPr>
        <w:rPr>
          <w:lang w:val="sl-SI"/>
        </w:rPr>
      </w:pPr>
    </w:p>
    <w:tbl>
      <w:tblPr>
        <w:tblStyle w:val="Tabelamrea"/>
        <w:tblpPr w:leftFromText="141" w:rightFromText="141" w:vertAnchor="text" w:horzAnchor="margin" w:tblpX="-10" w:tblpYSpec="bottom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40"/>
      </w:tblGrid>
      <w:tr w:rsidR="00C544D2" w:rsidRPr="00B97BAC" w14:paraId="432DF093" w14:textId="77777777" w:rsidTr="00DE5206">
        <w:trPr>
          <w:trHeight w:val="284"/>
        </w:trPr>
        <w:tc>
          <w:tcPr>
            <w:tcW w:w="709" w:type="dxa"/>
          </w:tcPr>
          <w:p w14:paraId="432DF091" w14:textId="77777777" w:rsidR="00C544D2" w:rsidRPr="00B97BAC" w:rsidRDefault="00C544D2" w:rsidP="0068173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  <w:r w:rsidRPr="00B97BAC"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>Datum:</w:t>
            </w:r>
          </w:p>
        </w:tc>
        <w:tc>
          <w:tcPr>
            <w:tcW w:w="8940" w:type="dxa"/>
          </w:tcPr>
          <w:p w14:paraId="432DF092" w14:textId="403A8F05" w:rsidR="00B76462" w:rsidRPr="00B97BAC" w:rsidRDefault="000F63B9" w:rsidP="00FC0BD1">
            <w:pPr>
              <w:tabs>
                <w:tab w:val="left" w:pos="146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l-SI"/>
              </w:rPr>
              <w:t>11. 5. 2023</w:t>
            </w:r>
          </w:p>
        </w:tc>
      </w:tr>
    </w:tbl>
    <w:p w14:paraId="432DF094" w14:textId="19B5BF63" w:rsidR="00C544D2" w:rsidRDefault="00B76462" w:rsidP="00B76462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b/>
          <w:bCs/>
          <w:color w:val="000000"/>
          <w:sz w:val="28"/>
          <w:szCs w:val="28"/>
          <w:lang w:val="sl-SI"/>
        </w:rPr>
      </w:pPr>
      <w:r w:rsidRPr="00B97BAC">
        <w:rPr>
          <w:rFonts w:ascii="Calibri" w:hAnsi="Calibri" w:cs="Calibri"/>
          <w:b/>
          <w:bCs/>
          <w:color w:val="000000"/>
          <w:sz w:val="28"/>
          <w:szCs w:val="28"/>
          <w:lang w:val="sl-SI"/>
        </w:rPr>
        <w:t>Rezultati poslovanja gospodarskih družb, zadrug in samostojnih podjetnikov posameznikov na Gorenjskem v letu 20</w:t>
      </w:r>
      <w:r w:rsidR="00A8637C" w:rsidRPr="00B97BAC">
        <w:rPr>
          <w:rFonts w:ascii="Calibri" w:hAnsi="Calibri" w:cs="Calibri"/>
          <w:b/>
          <w:bCs/>
          <w:color w:val="000000"/>
          <w:sz w:val="28"/>
          <w:szCs w:val="28"/>
          <w:lang w:val="sl-SI"/>
        </w:rPr>
        <w:t>2</w:t>
      </w:r>
      <w:r w:rsidR="000F63B9">
        <w:rPr>
          <w:rFonts w:ascii="Calibri" w:hAnsi="Calibri" w:cs="Calibri"/>
          <w:b/>
          <w:bCs/>
          <w:color w:val="000000"/>
          <w:sz w:val="28"/>
          <w:szCs w:val="28"/>
          <w:lang w:val="sl-SI"/>
        </w:rPr>
        <w:t>2</w:t>
      </w:r>
    </w:p>
    <w:p w14:paraId="6C7BF31B" w14:textId="6A2A5136" w:rsidR="000F63B9" w:rsidRDefault="000F63B9" w:rsidP="00B76462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b/>
          <w:bCs/>
          <w:color w:val="000000"/>
          <w:sz w:val="28"/>
          <w:szCs w:val="28"/>
          <w:lang w:val="sl-SI"/>
        </w:rPr>
      </w:pPr>
    </w:p>
    <w:p w14:paraId="2BC2E3B8" w14:textId="0A375DC8" w:rsidR="00B76462" w:rsidRDefault="000F63B9" w:rsidP="00B60C9A">
      <w:pPr>
        <w:pStyle w:val="Telobesedila"/>
      </w:pPr>
      <w:r w:rsidRPr="000F63B9">
        <w:t xml:space="preserve">Za gospodarstvo je bilo leto 2022 ponovno leto prilagajanj. </w:t>
      </w:r>
      <w:r w:rsidR="001E11DF">
        <w:t>Predhodna</w:t>
      </w:r>
      <w:r>
        <w:t xml:space="preserve"> leta so razmere krojili </w:t>
      </w:r>
      <w:r w:rsidR="001E11DF">
        <w:t>»</w:t>
      </w:r>
      <w:r>
        <w:t>koronski</w:t>
      </w:r>
      <w:r w:rsidR="001E11DF">
        <w:t>«</w:t>
      </w:r>
      <w:r>
        <w:t xml:space="preserve"> ukrepi, leto 2022 pa pričetek vojne v Ukrajini in zaostreni odnosi z Rusijo ter posledično višje cene plina in energentov, ki so povzročili dvig cen skoraj v vseh panogah gospodarstva. </w:t>
      </w:r>
    </w:p>
    <w:p w14:paraId="6768E2AF" w14:textId="77777777" w:rsidR="00B60C9A" w:rsidRPr="00B97BAC" w:rsidRDefault="00B60C9A" w:rsidP="00B60C9A">
      <w:pPr>
        <w:pStyle w:val="Telobesedila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EF8A41D" w14:textId="464D5F7A" w:rsidR="007278D0" w:rsidRDefault="001E11DF" w:rsidP="007278D0">
      <w:pPr>
        <w:pStyle w:val="Telobesedila"/>
      </w:pPr>
      <w:r>
        <w:t>V Poslovni register Slovenije (PRS) je bilo konec leta 2022 vpisanih 23.060 poslovnih subjektov s sedežem v gorenjski regiji, 3 % več kot konec leta 2021. Na</w:t>
      </w:r>
      <w:r w:rsidR="00B473A5">
        <w:t xml:space="preserve"> novo</w:t>
      </w:r>
      <w:r w:rsidR="007278D0" w:rsidRPr="00B97BAC">
        <w:t xml:space="preserve"> </w:t>
      </w:r>
      <w:r>
        <w:t xml:space="preserve">je bilo </w:t>
      </w:r>
      <w:r w:rsidR="007278D0" w:rsidRPr="00B97BAC">
        <w:t xml:space="preserve">ustanovljenih </w:t>
      </w:r>
      <w:r>
        <w:t>279</w:t>
      </w:r>
      <w:r w:rsidR="007278D0" w:rsidRPr="00B97BAC">
        <w:t xml:space="preserve"> družb (</w:t>
      </w:r>
      <w:r>
        <w:t>15</w:t>
      </w:r>
      <w:r w:rsidR="00061DFA" w:rsidRPr="00B97BAC">
        <w:t xml:space="preserve"> </w:t>
      </w:r>
      <w:r w:rsidR="00944F1E" w:rsidRPr="00B97BAC">
        <w:t>več</w:t>
      </w:r>
      <w:r w:rsidR="00061DFA" w:rsidRPr="00B97BAC">
        <w:t xml:space="preserve"> kot v </w:t>
      </w:r>
      <w:r w:rsidR="007278D0" w:rsidRPr="00B97BAC">
        <w:t>letu 20</w:t>
      </w:r>
      <w:r w:rsidR="00944F1E" w:rsidRPr="00B97BAC">
        <w:t>2</w:t>
      </w:r>
      <w:r>
        <w:t>1</w:t>
      </w:r>
      <w:r w:rsidR="007278D0" w:rsidRPr="00B97BAC">
        <w:t xml:space="preserve">), s poslovanjem je prenehalo </w:t>
      </w:r>
      <w:r>
        <w:t>196</w:t>
      </w:r>
      <w:r w:rsidR="007278D0" w:rsidRPr="00B97BAC">
        <w:t xml:space="preserve"> družb (</w:t>
      </w:r>
      <w:r>
        <w:t>46</w:t>
      </w:r>
      <w:r w:rsidR="00061DFA" w:rsidRPr="00B97BAC">
        <w:t xml:space="preserve"> </w:t>
      </w:r>
      <w:r>
        <w:t>manj</w:t>
      </w:r>
      <w:r w:rsidR="00061DFA" w:rsidRPr="00B97BAC">
        <w:t xml:space="preserve"> kot </w:t>
      </w:r>
      <w:r w:rsidR="007278D0" w:rsidRPr="00B97BAC">
        <w:t>v letu 20</w:t>
      </w:r>
      <w:r w:rsidR="00944F1E" w:rsidRPr="00B97BAC">
        <w:t>2</w:t>
      </w:r>
      <w:r>
        <w:t>1</w:t>
      </w:r>
      <w:r w:rsidR="007278D0" w:rsidRPr="00B97BAC">
        <w:t xml:space="preserve">), začetih je bilo </w:t>
      </w:r>
      <w:r w:rsidR="00944F1E" w:rsidRPr="00B97BAC">
        <w:t>6</w:t>
      </w:r>
      <w:r>
        <w:t>0</w:t>
      </w:r>
      <w:r w:rsidR="007278D0" w:rsidRPr="00B97BAC">
        <w:t xml:space="preserve"> stečajnih postopkov družb (</w:t>
      </w:r>
      <w:r w:rsidR="00775C33">
        <w:t>2</w:t>
      </w:r>
      <w:r w:rsidR="00526EF1">
        <w:t xml:space="preserve"> </w:t>
      </w:r>
      <w:r w:rsidR="00775C33">
        <w:t>manj</w:t>
      </w:r>
      <w:r w:rsidR="00061DFA" w:rsidRPr="00B97BAC">
        <w:t xml:space="preserve"> kot v letu 20</w:t>
      </w:r>
      <w:r w:rsidR="00944F1E" w:rsidRPr="00B97BAC">
        <w:t>2</w:t>
      </w:r>
      <w:r w:rsidR="00775C33">
        <w:t>1</w:t>
      </w:r>
      <w:r w:rsidR="00061DFA" w:rsidRPr="00B97BAC">
        <w:t>)</w:t>
      </w:r>
      <w:r w:rsidR="007278D0" w:rsidRPr="00B97BAC">
        <w:t xml:space="preserve"> in </w:t>
      </w:r>
      <w:r w:rsidR="00775C33">
        <w:t>1</w:t>
      </w:r>
      <w:r w:rsidR="00944F1E" w:rsidRPr="00B97BAC">
        <w:t>4</w:t>
      </w:r>
      <w:r w:rsidR="007278D0" w:rsidRPr="00B97BAC">
        <w:t xml:space="preserve"> likvidacijskih postopkov (</w:t>
      </w:r>
      <w:r w:rsidR="00775C33">
        <w:t>10</w:t>
      </w:r>
      <w:r w:rsidR="007278D0" w:rsidRPr="00B97BAC">
        <w:t xml:space="preserve"> </w:t>
      </w:r>
      <w:r w:rsidR="00944F1E" w:rsidRPr="00B97BAC">
        <w:t>manj</w:t>
      </w:r>
      <w:r w:rsidR="007278D0" w:rsidRPr="00B97BAC">
        <w:t xml:space="preserve"> kot v letu 20</w:t>
      </w:r>
      <w:r w:rsidR="00944F1E" w:rsidRPr="00B97BAC">
        <w:t>2</w:t>
      </w:r>
      <w:r w:rsidR="00775C33">
        <w:t>1</w:t>
      </w:r>
      <w:r w:rsidR="007278D0" w:rsidRPr="00B97BAC">
        <w:t xml:space="preserve">). </w:t>
      </w:r>
      <w:r w:rsidR="00775C33">
        <w:t xml:space="preserve">S poslovanjem je na novo pričelo 2.147 podjetnikov (125 več kot v letu 2021), 1.537 podjetnikov (318 več kot v letu 2021) je v letu 2022 zaključilo s poslovanjem. </w:t>
      </w:r>
    </w:p>
    <w:p w14:paraId="2154B007" w14:textId="48F1B4D0" w:rsidR="00775C33" w:rsidRDefault="00775C33" w:rsidP="007278D0">
      <w:pPr>
        <w:pStyle w:val="Telobesedila"/>
      </w:pPr>
    </w:p>
    <w:p w14:paraId="7BB27935" w14:textId="02BCF550" w:rsidR="00775C33" w:rsidRDefault="00775C33" w:rsidP="007278D0">
      <w:pPr>
        <w:pStyle w:val="Telobesedila"/>
      </w:pPr>
      <w:r>
        <w:t>Gospodarsko moč in vpliv poslovanja na gospodarstvo gorenjske regije gre med poslovnimi subjekti pripisati predvsem družbam, ki so v letu 2022 ustvarile okrog 93 % vseh prihodkov, odhodkov in neto dodane vrednosti ter zaposlovale 9</w:t>
      </w:r>
      <w:r w:rsidR="00C835B6">
        <w:t>2</w:t>
      </w:r>
      <w:r>
        <w:t xml:space="preserve"> % vseh zaposlenih. Družbam je pripadalo tudi 9</w:t>
      </w:r>
      <w:r w:rsidR="00D16510">
        <w:t>2</w:t>
      </w:r>
      <w:r>
        <w:t xml:space="preserve"> % čistega dobička regije ter </w:t>
      </w:r>
      <w:r w:rsidR="00D16510">
        <w:t>89 %</w:t>
      </w:r>
      <w:r>
        <w:t xml:space="preserve"> čist</w:t>
      </w:r>
      <w:r w:rsidR="00D16510">
        <w:t>e</w:t>
      </w:r>
      <w:r>
        <w:t xml:space="preserve"> izgub</w:t>
      </w:r>
      <w:r w:rsidR="00D16510">
        <w:t>e</w:t>
      </w:r>
      <w:r>
        <w:t xml:space="preserve">. </w:t>
      </w:r>
    </w:p>
    <w:p w14:paraId="63E6D6AF" w14:textId="29C6D802" w:rsidR="005C1134" w:rsidRDefault="005C1134" w:rsidP="007278D0">
      <w:pPr>
        <w:pStyle w:val="Telobesedila"/>
      </w:pPr>
    </w:p>
    <w:p w14:paraId="4C5995CC" w14:textId="47B11321" w:rsidR="005C1134" w:rsidRDefault="005C1134" w:rsidP="007278D0">
      <w:pPr>
        <w:pStyle w:val="Telobesedila"/>
      </w:pPr>
      <w:r>
        <w:t xml:space="preserve">Podjetniki so lani ustvarili okrog </w:t>
      </w:r>
      <w:r w:rsidR="00E11560">
        <w:t>6</w:t>
      </w:r>
      <w:r>
        <w:t xml:space="preserve"> % prihodkov, odhodkov in neto dodane vrednost regije ter zaposlovali slabih </w:t>
      </w:r>
      <w:r w:rsidR="00D01CE3">
        <w:t>7</w:t>
      </w:r>
      <w:r>
        <w:t xml:space="preserve"> % vseh zaposlenih. </w:t>
      </w:r>
      <w:r w:rsidR="009D29FD">
        <w:t>8 % je bil njihov delež pri čistem dobičku, delež čiste izgube pa 1</w:t>
      </w:r>
      <w:r w:rsidR="006961CC">
        <w:t>0</w:t>
      </w:r>
      <w:r w:rsidR="009D29FD">
        <w:t xml:space="preserve"> %. V povprečju so zaposleni pri podjetnikih prejemali 737 evrov nižjo plačo od zaposlenih pri družbah. </w:t>
      </w:r>
      <w:r w:rsidR="006961CC">
        <w:t>Delež zadrug je zanemarljiv.</w:t>
      </w:r>
    </w:p>
    <w:p w14:paraId="1EE6EFA7" w14:textId="77777777" w:rsidR="00FE5EB5" w:rsidRDefault="00FE5EB5" w:rsidP="007278D0">
      <w:pPr>
        <w:pStyle w:val="Telobesedila"/>
      </w:pPr>
    </w:p>
    <w:p w14:paraId="52D363A0" w14:textId="082E5F41" w:rsidR="00816DF8" w:rsidRDefault="004461D4" w:rsidP="007278D0">
      <w:pPr>
        <w:pStyle w:val="Telobesedila"/>
      </w:pPr>
      <w:r w:rsidRPr="004461D4">
        <w:rPr>
          <w:noProof/>
        </w:rPr>
        <w:drawing>
          <wp:inline distT="0" distB="0" distL="0" distR="0" wp14:anchorId="15860CAF" wp14:editId="4EEDA680">
            <wp:extent cx="6116320" cy="1953889"/>
            <wp:effectExtent l="0" t="0" r="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9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6FDA" w14:textId="77777777" w:rsidR="008366D7" w:rsidRPr="008366D7" w:rsidRDefault="008366D7" w:rsidP="008366D7">
      <w:pPr>
        <w:jc w:val="both"/>
        <w:rPr>
          <w:rFonts w:ascii="Calibri" w:eastAsia="Times New Roman" w:hAnsi="Calibri" w:cs="Calibri"/>
          <w:i/>
          <w:sz w:val="16"/>
          <w:szCs w:val="16"/>
          <w:lang w:val="sl-SI" w:eastAsia="sl-SI"/>
        </w:rPr>
      </w:pPr>
      <w:r w:rsidRPr="008366D7">
        <w:rPr>
          <w:rFonts w:ascii="Calibri" w:eastAsia="Times New Roman" w:hAnsi="Calibri" w:cs="Calibri"/>
          <w:i/>
          <w:sz w:val="16"/>
          <w:szCs w:val="16"/>
          <w:lang w:val="sl-SI" w:eastAsia="sl-SI"/>
        </w:rPr>
        <w:t>* Podatki za leto 2021 so iz letnih poročil, predloženih za leto 2022.</w:t>
      </w:r>
    </w:p>
    <w:p w14:paraId="20532EC6" w14:textId="3236389F" w:rsidR="008366D7" w:rsidRPr="008366D7" w:rsidRDefault="008366D7" w:rsidP="008366D7">
      <w:pPr>
        <w:jc w:val="both"/>
        <w:rPr>
          <w:rFonts w:ascii="Calibri" w:eastAsia="Times New Roman" w:hAnsi="Calibri" w:cs="Calibri"/>
          <w:i/>
          <w:sz w:val="16"/>
          <w:szCs w:val="16"/>
          <w:lang w:val="sl-SI" w:eastAsia="sl-SI"/>
        </w:rPr>
      </w:pPr>
      <w:r w:rsidRPr="008366D7">
        <w:rPr>
          <w:rFonts w:ascii="Calibri" w:eastAsia="Times New Roman" w:hAnsi="Calibri" w:cs="Calibri"/>
          <w:i/>
          <w:sz w:val="16"/>
          <w:szCs w:val="16"/>
          <w:lang w:val="sl-SI" w:eastAsia="sl-SI"/>
        </w:rPr>
        <w:t>** Za samostojne podjetnike je podatek izračunan na nosilca dejavnosti (samostojnega podjetnika) in njegove zaposlene.</w:t>
      </w:r>
    </w:p>
    <w:p w14:paraId="0D8C32EB" w14:textId="77777777" w:rsidR="00B269B2" w:rsidRPr="00B97BAC" w:rsidRDefault="00B269B2" w:rsidP="007278D0">
      <w:pPr>
        <w:pStyle w:val="Telobesedila"/>
      </w:pPr>
    </w:p>
    <w:p w14:paraId="2BD48696" w14:textId="264FC057" w:rsidR="00E0400B" w:rsidRPr="00FE5EB5" w:rsidRDefault="00D16510" w:rsidP="007278D0">
      <w:pPr>
        <w:pStyle w:val="Telobesedila"/>
        <w:rPr>
          <w:b/>
        </w:rPr>
      </w:pPr>
      <w:r w:rsidRPr="00FE5EB5">
        <w:rPr>
          <w:b/>
        </w:rPr>
        <w:t>GOSPODARSKE DRUŽBE</w:t>
      </w:r>
    </w:p>
    <w:p w14:paraId="5C928ACB" w14:textId="7CE368A1" w:rsidR="00C46677" w:rsidRDefault="00C46677" w:rsidP="007278D0">
      <w:pPr>
        <w:pStyle w:val="Telobesedila"/>
      </w:pPr>
    </w:p>
    <w:p w14:paraId="6A2F48D2" w14:textId="77777777" w:rsidR="0053344A" w:rsidRDefault="0053344A" w:rsidP="007278D0">
      <w:pPr>
        <w:pStyle w:val="Telobesedila"/>
      </w:pPr>
      <w:r>
        <w:t>Podatke iz letnih poročil za leto 2022 je predložilo 5.886 družb (97,5 % vseh), 48 več kot za leto 2021.</w:t>
      </w:r>
    </w:p>
    <w:p w14:paraId="10E66FE6" w14:textId="77777777" w:rsidR="0053344A" w:rsidRDefault="0053344A" w:rsidP="007278D0">
      <w:pPr>
        <w:pStyle w:val="Telobesedila"/>
      </w:pPr>
    </w:p>
    <w:p w14:paraId="1ECBEE37" w14:textId="63233549" w:rsidR="009D29FD" w:rsidRDefault="009D29FD" w:rsidP="007278D0">
      <w:pPr>
        <w:pStyle w:val="Telobesedila"/>
      </w:pPr>
      <w:r>
        <w:t xml:space="preserve">Ustvarjeni skupni prihodki družb gorenjske regije v letu 2022 so bili </w:t>
      </w:r>
      <w:r w:rsidR="004039BD">
        <w:t xml:space="preserve">20 % višji kot v letu 2021. Družbe so realizirale </w:t>
      </w:r>
      <w:r w:rsidR="00AC533B">
        <w:t>9.967 milijono</w:t>
      </w:r>
      <w:r w:rsidR="00B04435">
        <w:t>v</w:t>
      </w:r>
      <w:r w:rsidR="004039BD">
        <w:t xml:space="preserve"> evrov prihodkov, skoraj polovico z opravljanjem predelovalne dejavnosti. Med družbami v predelovalni dejavnosti imajo največjo težo družbe, ki imajo</w:t>
      </w:r>
      <w:r w:rsidR="00F2368E">
        <w:t xml:space="preserve"> kot</w:t>
      </w:r>
      <w:r w:rsidR="004039BD">
        <w:t xml:space="preserve"> glavno dejavnost proizvodnjo kovin in</w:t>
      </w:r>
      <w:r w:rsidR="00F36B01">
        <w:t xml:space="preserve"> proizvodnjo</w:t>
      </w:r>
      <w:r w:rsidR="004039BD">
        <w:t xml:space="preserve"> izdelkov iz gume in plastičnih mas. </w:t>
      </w:r>
      <w:r w:rsidR="00F36B01">
        <w:t xml:space="preserve">Povečanje prihodkov od prodaje beležimo tako na </w:t>
      </w:r>
      <w:r w:rsidR="00F36B01">
        <w:lastRenderedPageBreak/>
        <w:t xml:space="preserve">domačem (19 %) kot tujem trgu (20 %). Doseženi prihodki na tujem trgu predstavljajo 47 % vseh čistih prihodkov od prodaje. </w:t>
      </w:r>
      <w:r w:rsidR="00AC533B">
        <w:t xml:space="preserve">Za 19 % so se zvišali tudi skupni odhodki, ki so znašali 9.293 milijonov evrov. </w:t>
      </w:r>
    </w:p>
    <w:p w14:paraId="2F1CFC0B" w14:textId="4711AC9E" w:rsidR="004213D0" w:rsidRDefault="004213D0" w:rsidP="007278D0">
      <w:pPr>
        <w:pStyle w:val="Telobesedila"/>
      </w:pPr>
    </w:p>
    <w:p w14:paraId="1851F467" w14:textId="76CCC824" w:rsidR="00F36B01" w:rsidRDefault="00F36B01" w:rsidP="007278D0">
      <w:pPr>
        <w:pStyle w:val="Telobesedila"/>
      </w:pPr>
      <w:r>
        <w:t>Čisti dobiček družb je lani znašal 618 milijonov evrov, 30 % več kot v letu 2021. 72 % družb regije je poslovno leto 2022 končalo v pozitivnih številkah. 52 % čistega dobička so ustvarile družbe</w:t>
      </w:r>
      <w:r w:rsidR="00F2368E">
        <w:t xml:space="preserve"> iz</w:t>
      </w:r>
      <w:r>
        <w:t xml:space="preserve"> predelovalne dejavnosti, v kateri so bile najbolj dobičkonosne družbe iz dejavnosti proizvodnje kovin in proizvodnje izdelkov iz gume in plastičnih mas. </w:t>
      </w:r>
      <w:r w:rsidR="00E11560">
        <w:t>60 %</w:t>
      </w:r>
      <w:r w:rsidR="0055169B">
        <w:t xml:space="preserve"> čistega dobička regije so ustvarile družbe s sedežem v občinah Kranj, Jesenice in Škofja Loka. Najintenzivnejšo rast čistega dobička so zabeležile družbe s sedežem v občinah Žirovnica in Jesenice. </w:t>
      </w:r>
    </w:p>
    <w:p w14:paraId="047AC5A7" w14:textId="74FD3A8B" w:rsidR="0055169B" w:rsidRDefault="0055169B" w:rsidP="007278D0">
      <w:pPr>
        <w:pStyle w:val="Telobesedila"/>
      </w:pPr>
    </w:p>
    <w:p w14:paraId="31BBE8C3" w14:textId="2D4FCE03" w:rsidR="0055169B" w:rsidRDefault="0055169B" w:rsidP="007278D0">
      <w:pPr>
        <w:pStyle w:val="Telobesedila"/>
      </w:pPr>
      <w:r>
        <w:t>Preteklo leto je s čisto izgubo v višini 38 milijonov evrov (29 % manj kot v letu 2021)</w:t>
      </w:r>
      <w:r w:rsidR="00754142">
        <w:t>,</w:t>
      </w:r>
      <w:r>
        <w:t xml:space="preserve"> končal</w:t>
      </w:r>
      <w:r w:rsidR="00754142">
        <w:t>a</w:t>
      </w:r>
      <w:r>
        <w:t xml:space="preserve"> </w:t>
      </w:r>
      <w:r w:rsidR="001D3547">
        <w:t>dobra četrtina</w:t>
      </w:r>
      <w:r>
        <w:t xml:space="preserve"> družb regije. V teh družbah je bilo zaposlenih </w:t>
      </w:r>
      <w:r w:rsidR="001E3DF5">
        <w:t>9 % vseh zaposlenih regije. Največji delež čiste izgube (23 %) so ugotovile družbe s področja strokovne, znanstvene in tehnične dejavnosti. 27 % delež čiste izgube regije je ustvarilo 191 družb s sedežem v občini Radovljica, vendar so jo v primerjavi z letom 2021 skoraj prepolovile.</w:t>
      </w:r>
    </w:p>
    <w:p w14:paraId="5EB6EC26" w14:textId="2A8E5CDA" w:rsidR="001E3DF5" w:rsidRDefault="001E3DF5" w:rsidP="007278D0">
      <w:pPr>
        <w:pStyle w:val="Telobesedila"/>
      </w:pPr>
    </w:p>
    <w:p w14:paraId="328CD204" w14:textId="29271201" w:rsidR="001E3DF5" w:rsidRDefault="001E3DF5" w:rsidP="007278D0">
      <w:pPr>
        <w:pStyle w:val="Telobesedila"/>
      </w:pPr>
      <w:r>
        <w:t xml:space="preserve">Obseg čistega dobička je tudi v letu 2022 presegel obseg čiste izgube, zato so družbe poslovno leto zaključile </w:t>
      </w:r>
      <w:r w:rsidR="00221B9F">
        <w:t>pozitivno</w:t>
      </w:r>
      <w:r w:rsidR="001E0E05">
        <w:t>,</w:t>
      </w:r>
      <w:r w:rsidR="00221B9F">
        <w:t xml:space="preserve"> </w:t>
      </w:r>
      <w:r>
        <w:t xml:space="preserve">z neto čistim dobičkom, ki je znašal </w:t>
      </w:r>
      <w:r w:rsidR="004213D0">
        <w:t>580 milijonov evrov, 37 % več kot v letu 2021. Neto čisti dobič</w:t>
      </w:r>
      <w:r w:rsidR="00221B9F">
        <w:t>ek</w:t>
      </w:r>
      <w:r w:rsidR="004213D0">
        <w:t xml:space="preserve"> so ugotovile družbe v vseh dejavnostih, več kot polovico v najmočnejši predeloval</w:t>
      </w:r>
      <w:r w:rsidR="00F2368E">
        <w:t>n</w:t>
      </w:r>
      <w:r w:rsidR="004213D0">
        <w:t>i dejavnosti in</w:t>
      </w:r>
      <w:r w:rsidR="001E0E05">
        <w:t xml:space="preserve"> v</w:t>
      </w:r>
      <w:r w:rsidR="004213D0">
        <w:t xml:space="preserve"> vseh občinah gorenjske regije. Upoštevajoč velikostne skupine družb</w:t>
      </w:r>
      <w:r w:rsidR="00754142">
        <w:t>,</w:t>
      </w:r>
      <w:r w:rsidR="004213D0">
        <w:t xml:space="preserve"> so največji delež neto čistega dobička (43 %), izkazale velike družbe. </w:t>
      </w:r>
      <w:r w:rsidR="0053587A">
        <w:t>Vse velikostne skupine družb</w:t>
      </w:r>
      <w:r w:rsidR="00754142">
        <w:t>,</w:t>
      </w:r>
      <w:r w:rsidR="0053587A">
        <w:t xml:space="preserve"> so izkazale več neto čistega dobička kot v letu 2021, največji porast (57 %) je bil v </w:t>
      </w:r>
      <w:proofErr w:type="spellStart"/>
      <w:r w:rsidR="0053587A">
        <w:t>mikro</w:t>
      </w:r>
      <w:proofErr w:type="spellEnd"/>
      <w:r w:rsidR="0053587A">
        <w:t xml:space="preserve"> družbah.</w:t>
      </w:r>
    </w:p>
    <w:p w14:paraId="17130D5E" w14:textId="192D0DB2" w:rsidR="0071643C" w:rsidRDefault="0071643C" w:rsidP="007278D0">
      <w:pPr>
        <w:pStyle w:val="Telobesedila"/>
      </w:pPr>
    </w:p>
    <w:p w14:paraId="3ECAE793" w14:textId="7217ADCC" w:rsidR="0071643C" w:rsidRDefault="0071643C" w:rsidP="0071643C">
      <w:pPr>
        <w:pStyle w:val="Telobesedila"/>
      </w:pPr>
      <w:r>
        <w:t xml:space="preserve">Primerjave z letom 2021 so izražene z indeksi, razen števila družb. </w:t>
      </w:r>
    </w:p>
    <w:p w14:paraId="4E557088" w14:textId="398034B0" w:rsidR="0071643C" w:rsidRDefault="00B269B2" w:rsidP="007278D0">
      <w:pPr>
        <w:pStyle w:val="Telobesedila"/>
      </w:pPr>
      <w:r w:rsidRPr="00615851">
        <w:rPr>
          <w:noProof/>
        </w:rPr>
        <w:drawing>
          <wp:anchor distT="0" distB="0" distL="114300" distR="114300" simplePos="0" relativeHeight="251659264" behindDoc="1" locked="0" layoutInCell="1" allowOverlap="1" wp14:anchorId="39CE62E0" wp14:editId="54980262">
            <wp:simplePos x="0" y="0"/>
            <wp:positionH relativeFrom="margin">
              <wp:posOffset>933339</wp:posOffset>
            </wp:positionH>
            <wp:positionV relativeFrom="paragraph">
              <wp:posOffset>3479</wp:posOffset>
            </wp:positionV>
            <wp:extent cx="4277360" cy="3910330"/>
            <wp:effectExtent l="0" t="0" r="0" b="0"/>
            <wp:wrapTight wrapText="bothSides">
              <wp:wrapPolygon edited="0">
                <wp:start x="8658" y="526"/>
                <wp:lineTo x="2886" y="1578"/>
                <wp:lineTo x="2886" y="2105"/>
                <wp:lineTo x="8658" y="2420"/>
                <wp:lineTo x="4714" y="3052"/>
                <wp:lineTo x="2790" y="3578"/>
                <wp:lineTo x="2790" y="7366"/>
                <wp:lineTo x="10774" y="7471"/>
                <wp:lineTo x="4040" y="8524"/>
                <wp:lineTo x="2886" y="8839"/>
                <wp:lineTo x="2886" y="21467"/>
                <wp:lineTo x="17605" y="21467"/>
                <wp:lineTo x="17701" y="21256"/>
                <wp:lineTo x="19240" y="20625"/>
                <wp:lineTo x="19240" y="20204"/>
                <wp:lineTo x="17605" y="19257"/>
                <wp:lineTo x="19048" y="19046"/>
                <wp:lineTo x="19048" y="18731"/>
                <wp:lineTo x="17316" y="17573"/>
                <wp:lineTo x="16450" y="15890"/>
                <wp:lineTo x="17605" y="14206"/>
                <wp:lineTo x="19240" y="13364"/>
                <wp:lineTo x="19240" y="13154"/>
                <wp:lineTo x="17605" y="12522"/>
                <wp:lineTo x="19048" y="12101"/>
                <wp:lineTo x="19048" y="11680"/>
                <wp:lineTo x="17701" y="10733"/>
                <wp:lineTo x="17316" y="10207"/>
                <wp:lineTo x="16258" y="8944"/>
                <wp:lineTo x="15007" y="8524"/>
                <wp:lineTo x="10774" y="7471"/>
                <wp:lineTo x="16835" y="7471"/>
                <wp:lineTo x="19240" y="6945"/>
                <wp:lineTo x="19240" y="4735"/>
                <wp:lineTo x="18855" y="4209"/>
                <wp:lineTo x="17701" y="4104"/>
                <wp:lineTo x="17124" y="2420"/>
                <wp:lineTo x="17605" y="1473"/>
                <wp:lineTo x="16835" y="1263"/>
                <wp:lineTo x="10101" y="526"/>
                <wp:lineTo x="8658" y="526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BEB84" w14:textId="1A90A114" w:rsidR="00615851" w:rsidRDefault="00615851" w:rsidP="00816DF8">
      <w:pPr>
        <w:pStyle w:val="Telobesedila"/>
        <w:jc w:val="center"/>
      </w:pPr>
    </w:p>
    <w:p w14:paraId="21B233C3" w14:textId="11718847" w:rsidR="00615851" w:rsidRDefault="00615851" w:rsidP="007278D0">
      <w:pPr>
        <w:pStyle w:val="Telobesedila"/>
      </w:pPr>
    </w:p>
    <w:p w14:paraId="4EDA9B4D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05AFBD05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2973F9AF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3374E52D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68D76564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4BD93DCC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5CC0F37A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2987ADBB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6077B6F7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5074B327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19E2BE31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6870C9E4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35189083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0BDEBFF6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201BD89F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53686E6A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5F3CA24C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7731C5C9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31037F44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2AF7934A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2D425579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78C6EF55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4A417A2F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10F5E997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6ABF40B4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27E066B9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10E2F4A4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5DF4B8AF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02C8DD62" w14:textId="77777777" w:rsidR="00BB3E91" w:rsidRDefault="00BB3E91" w:rsidP="00615851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350841FF" w14:textId="16575F2F" w:rsidR="00615851" w:rsidRPr="00BB3E91" w:rsidRDefault="00615851" w:rsidP="00615851">
      <w:pPr>
        <w:jc w:val="both"/>
        <w:rPr>
          <w:rFonts w:ascii="Calibri" w:eastAsia="Times New Roman" w:hAnsi="Calibri" w:cs="Calibri"/>
          <w:bCs/>
          <w:i/>
          <w:color w:val="262626"/>
          <w:sz w:val="16"/>
          <w:szCs w:val="16"/>
          <w:lang w:val="sl-SI" w:eastAsia="sl-SI"/>
        </w:rPr>
      </w:pPr>
      <w:r w:rsidRPr="00BB3E91">
        <w:rPr>
          <w:rFonts w:ascii="Calibri" w:eastAsia="Times New Roman" w:hAnsi="Calibri" w:cs="Calibri"/>
          <w:bCs/>
          <w:i/>
          <w:color w:val="262626"/>
          <w:sz w:val="16"/>
          <w:szCs w:val="16"/>
          <w:lang w:val="sl-SI" w:eastAsia="sl-SI"/>
        </w:rPr>
        <w:t>Opomba: * realna rast glede na indeks cen življenjskih potrebščin v obdobju januar - december 2022 v primerjavi z obdobjem januar - december 2</w:t>
      </w:r>
      <w:r w:rsidR="00B31169">
        <w:rPr>
          <w:rFonts w:ascii="Calibri" w:eastAsia="Times New Roman" w:hAnsi="Calibri" w:cs="Calibri"/>
          <w:bCs/>
          <w:i/>
          <w:color w:val="262626"/>
          <w:sz w:val="16"/>
          <w:szCs w:val="16"/>
          <w:lang w:val="sl-SI" w:eastAsia="sl-SI"/>
        </w:rPr>
        <w:t>0</w:t>
      </w:r>
      <w:r w:rsidRPr="00BB3E91">
        <w:rPr>
          <w:rFonts w:ascii="Calibri" w:eastAsia="Times New Roman" w:hAnsi="Calibri" w:cs="Calibri"/>
          <w:bCs/>
          <w:i/>
          <w:color w:val="262626"/>
          <w:sz w:val="16"/>
          <w:szCs w:val="16"/>
          <w:lang w:val="sl-SI" w:eastAsia="sl-SI"/>
        </w:rPr>
        <w:t>21, ki je znašal 108,8 (vir: Statistični urad RS).</w:t>
      </w:r>
    </w:p>
    <w:p w14:paraId="667E0B7B" w14:textId="0C8B5876" w:rsidR="0053587A" w:rsidRDefault="0053587A" w:rsidP="007278D0">
      <w:pPr>
        <w:pStyle w:val="Telobesedila"/>
      </w:pPr>
    </w:p>
    <w:p w14:paraId="6BDE78A3" w14:textId="47EFECFC" w:rsidR="00221F38" w:rsidRDefault="0053587A" w:rsidP="00221F38">
      <w:pPr>
        <w:pStyle w:val="Telobesedila"/>
      </w:pPr>
      <w:r>
        <w:t xml:space="preserve">V gorenjskih družbah je bilo v letu 2022 v povprečju zaposlenih 48.381 delavcev, 2.663 več kot v letu 2021. </w:t>
      </w:r>
      <w:r w:rsidR="00CB649D" w:rsidRPr="00CB649D">
        <w:t>Število zaposlenih so</w:t>
      </w:r>
      <w:r w:rsidR="00CB649D">
        <w:t xml:space="preserve"> v primerjavi z letom 202</w:t>
      </w:r>
      <w:r w:rsidR="002D3808">
        <w:t>1</w:t>
      </w:r>
      <w:r w:rsidR="00CB649D" w:rsidRPr="00CB649D">
        <w:t xml:space="preserve"> najbolj povečale družbe iz področja predelovalne dejavnosti (+95</w:t>
      </w:r>
      <w:r w:rsidR="002D3808">
        <w:t>8</w:t>
      </w:r>
      <w:r w:rsidR="00CB649D" w:rsidRPr="00CB649D">
        <w:t xml:space="preserve">) in iz področja </w:t>
      </w:r>
      <w:r w:rsidR="0016737C">
        <w:t>prometa in skladiščenja</w:t>
      </w:r>
      <w:r w:rsidR="00CB649D" w:rsidRPr="00CB649D">
        <w:t xml:space="preserve"> (+</w:t>
      </w:r>
      <w:r w:rsidR="0016737C">
        <w:t>475</w:t>
      </w:r>
      <w:r w:rsidR="00CB649D" w:rsidRPr="00CB649D">
        <w:t>)</w:t>
      </w:r>
      <w:r w:rsidR="002D3808">
        <w:t>.</w:t>
      </w:r>
      <w:r w:rsidR="00CB649D" w:rsidRPr="00CB649D">
        <w:t xml:space="preserve"> </w:t>
      </w:r>
      <w:r w:rsidR="00221F38" w:rsidRPr="00B97BAC">
        <w:t xml:space="preserve">Družbe gorenjske regije so za stroške dela namenile </w:t>
      </w:r>
      <w:r w:rsidR="002D3808">
        <w:t>1.</w:t>
      </w:r>
      <w:r w:rsidR="00B04435">
        <w:t>616</w:t>
      </w:r>
      <w:r w:rsidR="002D3808">
        <w:t xml:space="preserve"> milijonov</w:t>
      </w:r>
      <w:r w:rsidR="00221F38" w:rsidRPr="00B97BAC">
        <w:t xml:space="preserve"> evrov,</w:t>
      </w:r>
      <w:r w:rsidR="00221F38">
        <w:t xml:space="preserve"> </w:t>
      </w:r>
      <w:r w:rsidR="00B04435">
        <w:t>14</w:t>
      </w:r>
      <w:r w:rsidR="00221F38">
        <w:t xml:space="preserve"> % več </w:t>
      </w:r>
      <w:r w:rsidR="00221F38" w:rsidRPr="00B97BAC">
        <w:t>kot v letu 20</w:t>
      </w:r>
      <w:r w:rsidR="00221F38">
        <w:t>2</w:t>
      </w:r>
      <w:r w:rsidR="002D3808">
        <w:t>1</w:t>
      </w:r>
      <w:r w:rsidR="00221F38" w:rsidRPr="00B97BAC">
        <w:t xml:space="preserve">. Lanska povprečna mesečna obračunana bruto plača je znašala </w:t>
      </w:r>
      <w:r w:rsidR="002D3808">
        <w:t>2.039</w:t>
      </w:r>
      <w:r w:rsidR="00221F38" w:rsidRPr="00B97BAC">
        <w:t xml:space="preserve"> evrov, </w:t>
      </w:r>
      <w:r w:rsidR="002D3808">
        <w:t>141</w:t>
      </w:r>
      <w:r w:rsidR="00221F38" w:rsidRPr="00B97BAC">
        <w:t xml:space="preserve"> evrov</w:t>
      </w:r>
      <w:r w:rsidR="00782103">
        <w:t xml:space="preserve"> (7,4 %)</w:t>
      </w:r>
      <w:r w:rsidR="00221F38" w:rsidRPr="00B97BAC">
        <w:t xml:space="preserve"> več kot v letu 20</w:t>
      </w:r>
      <w:r w:rsidR="00221F38">
        <w:t>2</w:t>
      </w:r>
      <w:r w:rsidR="002D3808">
        <w:t>1</w:t>
      </w:r>
      <w:r w:rsidR="00782103">
        <w:t>, realno pa</w:t>
      </w:r>
      <w:r w:rsidR="00221B9F">
        <w:t xml:space="preserve"> je bila</w:t>
      </w:r>
      <w:r w:rsidR="00782103">
        <w:t xml:space="preserve"> ob 8,8 % rasti cen življenjskih potrebščin nižja za 1,7 %.</w:t>
      </w:r>
      <w:r w:rsidR="00221F38" w:rsidRPr="00B97BAC">
        <w:t xml:space="preserve"> Regijska plača je bila za </w:t>
      </w:r>
      <w:r w:rsidR="002D3808">
        <w:t>5</w:t>
      </w:r>
      <w:r w:rsidR="00221F38" w:rsidRPr="00B97BAC">
        <w:t xml:space="preserve"> evrov </w:t>
      </w:r>
      <w:r w:rsidR="002D3808">
        <w:t>višja</w:t>
      </w:r>
      <w:r w:rsidR="00221F38" w:rsidRPr="00B97BAC">
        <w:t xml:space="preserve"> od povprečne plače zaposlenih v slovenskih </w:t>
      </w:r>
      <w:r w:rsidR="00221F38" w:rsidRPr="00B97BAC">
        <w:lastRenderedPageBreak/>
        <w:t>gospodarskih družbah. Najvišjo povprečno mesečno obračunano bruto plačo so prejemali zaposleni v družbah s sedežem v občini Cerklje na Gorenjskem</w:t>
      </w:r>
      <w:r w:rsidR="00AB5405">
        <w:t xml:space="preserve"> (</w:t>
      </w:r>
      <w:r w:rsidR="002D3808">
        <w:t>2.525</w:t>
      </w:r>
      <w:r w:rsidR="006F458B">
        <w:t xml:space="preserve"> </w:t>
      </w:r>
      <w:r w:rsidR="001E0E05" w:rsidRPr="00B97BAC">
        <w:t>evrov</w:t>
      </w:r>
      <w:r w:rsidR="00AB5405">
        <w:t>)</w:t>
      </w:r>
      <w:r w:rsidR="00221F38" w:rsidRPr="00B97BAC">
        <w:t>, sledijo družbe občine Šenčur</w:t>
      </w:r>
      <w:r w:rsidR="00AB5405">
        <w:t xml:space="preserve"> (2.</w:t>
      </w:r>
      <w:r w:rsidR="002D3808">
        <w:t>322</w:t>
      </w:r>
      <w:r w:rsidR="00AB5405">
        <w:t xml:space="preserve"> </w:t>
      </w:r>
      <w:r w:rsidR="001E0E05" w:rsidRPr="00B97BAC">
        <w:t>evrov</w:t>
      </w:r>
      <w:r w:rsidR="00AB5405">
        <w:t>)</w:t>
      </w:r>
      <w:r w:rsidR="00221F38" w:rsidRPr="00B97BAC">
        <w:t xml:space="preserve"> in Škofja Loka</w:t>
      </w:r>
      <w:r w:rsidR="00AB5405">
        <w:t xml:space="preserve"> (2.</w:t>
      </w:r>
      <w:r w:rsidR="002D3808">
        <w:t>160</w:t>
      </w:r>
      <w:r w:rsidR="00AB5405">
        <w:t xml:space="preserve"> </w:t>
      </w:r>
      <w:r w:rsidR="001E0E05" w:rsidRPr="00B97BAC">
        <w:t>evrov</w:t>
      </w:r>
      <w:r w:rsidR="00AB5405">
        <w:t>)</w:t>
      </w:r>
      <w:r w:rsidR="00221F38" w:rsidRPr="00B97BAC">
        <w:t>. Najnižjo povprečno mesečno obračunano bruto plačo so obračunale družbe s sedežem v občinah Jezersko</w:t>
      </w:r>
      <w:r w:rsidR="00AB5405">
        <w:t xml:space="preserve"> (1.</w:t>
      </w:r>
      <w:r w:rsidR="002D3808">
        <w:t>694</w:t>
      </w:r>
      <w:r w:rsidR="00AB5405">
        <w:t xml:space="preserve"> </w:t>
      </w:r>
      <w:r w:rsidR="00AC533B" w:rsidRPr="00B97BAC">
        <w:t>evrov</w:t>
      </w:r>
      <w:r w:rsidR="00AB5405">
        <w:t>)</w:t>
      </w:r>
      <w:r w:rsidR="00221F38">
        <w:t xml:space="preserve"> in </w:t>
      </w:r>
      <w:r w:rsidR="002D3808">
        <w:t>Bohinj</w:t>
      </w:r>
      <w:r w:rsidR="00AB5405">
        <w:t xml:space="preserve"> (1.</w:t>
      </w:r>
      <w:r w:rsidR="002D3808">
        <w:t>742</w:t>
      </w:r>
      <w:r w:rsidR="00AB5405">
        <w:t xml:space="preserve"> </w:t>
      </w:r>
      <w:r w:rsidR="00AC533B" w:rsidRPr="00B97BAC">
        <w:t>evrov</w:t>
      </w:r>
      <w:r w:rsidR="00AB5405">
        <w:t>)</w:t>
      </w:r>
      <w:r w:rsidR="00221F38">
        <w:t xml:space="preserve">. </w:t>
      </w:r>
    </w:p>
    <w:p w14:paraId="79E91C80" w14:textId="4142A1D1" w:rsidR="00221F38" w:rsidRDefault="00221F38" w:rsidP="00221F38">
      <w:pPr>
        <w:pStyle w:val="Telobesedila"/>
      </w:pPr>
    </w:p>
    <w:p w14:paraId="55EE18C1" w14:textId="12571439" w:rsidR="000E3BFF" w:rsidRDefault="000E3BFF" w:rsidP="000E3BFF">
      <w:pPr>
        <w:pStyle w:val="Telobesedila"/>
      </w:pPr>
      <w:r w:rsidRPr="00B97BAC">
        <w:t xml:space="preserve">V Sloveniji imajo najvišjo povprečno mesečno obračunano plačo zaposleni v </w:t>
      </w:r>
      <w:r w:rsidR="002D3808">
        <w:t>j</w:t>
      </w:r>
      <w:r w:rsidRPr="00B97BAC">
        <w:t xml:space="preserve">ugovzhodni in </w:t>
      </w:r>
      <w:r w:rsidR="002D3808">
        <w:t>osrednjeslovenski</w:t>
      </w:r>
      <w:r>
        <w:t xml:space="preserve"> r</w:t>
      </w:r>
      <w:r w:rsidRPr="00B97BAC">
        <w:t xml:space="preserve">egiji, sledi </w:t>
      </w:r>
      <w:r w:rsidR="002D3808">
        <w:t>posavska</w:t>
      </w:r>
      <w:r>
        <w:t xml:space="preserve"> regija </w:t>
      </w:r>
      <w:r w:rsidRPr="00B97BAC">
        <w:t>in na 4. mestu</w:t>
      </w:r>
      <w:r w:rsidR="002D3808">
        <w:t xml:space="preserve"> g</w:t>
      </w:r>
      <w:r w:rsidRPr="00B97BAC">
        <w:t xml:space="preserve">orenjska regija. Najnižjo povprečno obračunano bruto plačo pa prejemajo zaposleni v družbah </w:t>
      </w:r>
      <w:r w:rsidR="002D3808">
        <w:t>p</w:t>
      </w:r>
      <w:r w:rsidRPr="00B97BAC">
        <w:t xml:space="preserve">rimorsko-notranjske regije in </w:t>
      </w:r>
      <w:r w:rsidR="002D3808">
        <w:t>pomurske</w:t>
      </w:r>
      <w:r>
        <w:t xml:space="preserve"> </w:t>
      </w:r>
      <w:r w:rsidRPr="00B97BAC">
        <w:t xml:space="preserve">regije. </w:t>
      </w:r>
    </w:p>
    <w:p w14:paraId="53397757" w14:textId="77777777" w:rsidR="000E3BFF" w:rsidRDefault="000E3BFF" w:rsidP="000E3BFF">
      <w:pPr>
        <w:pStyle w:val="Telobesedila"/>
      </w:pPr>
    </w:p>
    <w:p w14:paraId="4F51DB28" w14:textId="36A200BE" w:rsidR="001D3037" w:rsidRDefault="001D3037" w:rsidP="00A646FE">
      <w:pPr>
        <w:autoSpaceDE w:val="0"/>
        <w:autoSpaceDN w:val="0"/>
        <w:adjustRightInd w:val="0"/>
        <w:spacing w:line="260" w:lineRule="exact"/>
        <w:jc w:val="both"/>
        <w:rPr>
          <w:rFonts w:eastAsia="Times New Roman" w:cstheme="minorHAnsi"/>
          <w:sz w:val="22"/>
          <w:szCs w:val="22"/>
          <w:lang w:val="sl-SI" w:eastAsia="sl-SI"/>
        </w:rPr>
      </w:pPr>
      <w:r w:rsidRPr="001D3037">
        <w:rPr>
          <w:rFonts w:eastAsia="Times New Roman" w:cstheme="minorHAnsi"/>
          <w:sz w:val="22"/>
          <w:szCs w:val="22"/>
          <w:lang w:val="sl-SI" w:eastAsia="sl-SI"/>
        </w:rPr>
        <w:t>Družbe so lani ustvarile 2.</w:t>
      </w:r>
      <w:r w:rsidR="006542F8">
        <w:rPr>
          <w:rFonts w:eastAsia="Times New Roman" w:cstheme="minorHAnsi"/>
          <w:sz w:val="22"/>
          <w:szCs w:val="22"/>
          <w:lang w:val="sl-SI" w:eastAsia="sl-SI"/>
        </w:rPr>
        <w:t>681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 milijonov evrov neto dodane vrednosti (</w:t>
      </w:r>
      <w:r w:rsidR="0031781D">
        <w:rPr>
          <w:rFonts w:eastAsia="Times New Roman" w:cstheme="minorHAnsi"/>
          <w:sz w:val="22"/>
          <w:szCs w:val="22"/>
          <w:lang w:val="sl-SI" w:eastAsia="sl-SI"/>
        </w:rPr>
        <w:t>+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>1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>4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 % 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 xml:space="preserve">več 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glede na leto prej), kar je 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>55.423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 evrov na zaposlenega (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>8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 %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 xml:space="preserve"> več </w:t>
      </w:r>
      <w:r w:rsidRPr="001D3037">
        <w:rPr>
          <w:rFonts w:eastAsia="Times New Roman" w:cstheme="minorHAnsi"/>
          <w:sz w:val="22"/>
          <w:szCs w:val="22"/>
          <w:lang w:val="sl-SI" w:eastAsia="sl-SI"/>
        </w:rPr>
        <w:t xml:space="preserve">glede na leto prej). </w:t>
      </w:r>
      <w:r w:rsidR="00782103">
        <w:rPr>
          <w:rFonts w:eastAsia="Times New Roman" w:cstheme="minorHAnsi"/>
          <w:sz w:val="22"/>
          <w:szCs w:val="22"/>
          <w:lang w:val="sl-SI" w:eastAsia="sl-SI"/>
        </w:rPr>
        <w:t xml:space="preserve">Neto dodana vrednost na zaposlenega v regiji je zgolj za pol odstotka </w:t>
      </w:r>
      <w:r w:rsidR="00440FA3">
        <w:rPr>
          <w:rFonts w:eastAsia="Times New Roman" w:cstheme="minorHAnsi"/>
          <w:sz w:val="22"/>
          <w:szCs w:val="22"/>
          <w:lang w:val="sl-SI" w:eastAsia="sl-SI"/>
        </w:rPr>
        <w:t xml:space="preserve">zaostajala za republiškim povprečjem. </w:t>
      </w:r>
    </w:p>
    <w:p w14:paraId="7E194F08" w14:textId="77777777" w:rsidR="00342EBA" w:rsidRPr="00B97BAC" w:rsidRDefault="00342EBA" w:rsidP="003D626F">
      <w:pPr>
        <w:pStyle w:val="Telobesedila"/>
      </w:pPr>
    </w:p>
    <w:p w14:paraId="4FB7E9EB" w14:textId="367394F4" w:rsidR="00036F03" w:rsidRDefault="003D626F" w:rsidP="00634A18">
      <w:pPr>
        <w:pStyle w:val="Telobesedila"/>
      </w:pPr>
      <w:r w:rsidRPr="00B97BAC">
        <w:t>Največ neto dodane vrednosti na zaposlenega so ustvarile družbe s sedežem v občini Žirovnica (</w:t>
      </w:r>
      <w:r w:rsidR="000D17D2">
        <w:t>109.949</w:t>
      </w:r>
      <w:r w:rsidRPr="00B97BAC">
        <w:t xml:space="preserve"> evrov), sledijo družbe iz občine </w:t>
      </w:r>
      <w:r w:rsidR="000D17D2">
        <w:t>Jesenice</w:t>
      </w:r>
      <w:r w:rsidRPr="00B97BAC">
        <w:t xml:space="preserve"> (</w:t>
      </w:r>
      <w:r w:rsidR="000D17D2">
        <w:t>84.222</w:t>
      </w:r>
      <w:r w:rsidRPr="00B97BAC">
        <w:t xml:space="preserve"> evrov) in </w:t>
      </w:r>
      <w:r w:rsidR="000D17D2">
        <w:t>občine Cerklje na Gorenjskem</w:t>
      </w:r>
      <w:r w:rsidRPr="00B97BAC">
        <w:t xml:space="preserve"> (</w:t>
      </w:r>
      <w:r w:rsidR="000D17D2">
        <w:t>66.173</w:t>
      </w:r>
      <w:r w:rsidRPr="00B97BAC">
        <w:t xml:space="preserve"> evrov). Med dejavnostmi so močno izstopale družbe s področja</w:t>
      </w:r>
      <w:r w:rsidR="000D17D2">
        <w:t xml:space="preserve"> poslovanja z nepremičninami (135.576 evrov) in </w:t>
      </w:r>
      <w:r w:rsidRPr="00B97BAC">
        <w:t>oskrbe z električno energijo in paro</w:t>
      </w:r>
      <w:r w:rsidR="005D35C2">
        <w:t xml:space="preserve"> (</w:t>
      </w:r>
      <w:r w:rsidR="000D17D2">
        <w:t>104.293</w:t>
      </w:r>
      <w:r w:rsidR="005D35C2">
        <w:t xml:space="preserve"> evrov)</w:t>
      </w:r>
      <w:r w:rsidR="000D17D2">
        <w:t>.</w:t>
      </w:r>
    </w:p>
    <w:p w14:paraId="49948297" w14:textId="29A9C1C2" w:rsidR="005D35C2" w:rsidRPr="00B97BAC" w:rsidRDefault="005D35C2" w:rsidP="00634A18">
      <w:pPr>
        <w:pStyle w:val="Telobesedila"/>
      </w:pPr>
    </w:p>
    <w:p w14:paraId="5D95C8DE" w14:textId="5CEB7411" w:rsidR="00036F03" w:rsidRPr="00B97BAC" w:rsidRDefault="00036F03" w:rsidP="00634A18">
      <w:pPr>
        <w:pStyle w:val="Telobesedila"/>
      </w:pPr>
      <w:r w:rsidRPr="00B97BAC">
        <w:t xml:space="preserve">Gorenjske družbe so konec leta </w:t>
      </w:r>
      <w:r w:rsidR="00D17BB9" w:rsidRPr="00B97BAC">
        <w:t>202</w:t>
      </w:r>
      <w:r w:rsidR="00B60C9A">
        <w:t>2</w:t>
      </w:r>
      <w:r w:rsidRPr="00B97BAC">
        <w:t xml:space="preserve"> izkazale </w:t>
      </w:r>
      <w:r w:rsidR="00AC533B">
        <w:t>9.427</w:t>
      </w:r>
      <w:r w:rsidRPr="00B97BAC">
        <w:t xml:space="preserve"> </w:t>
      </w:r>
      <w:r w:rsidR="00AC533B">
        <w:t>milijonov</w:t>
      </w:r>
      <w:r w:rsidR="00B60C9A">
        <w:t xml:space="preserve"> </w:t>
      </w:r>
      <w:r w:rsidRPr="00B97BAC">
        <w:t xml:space="preserve">evrov sredstev oziroma obveznosti do virov sredstev, kar je </w:t>
      </w:r>
      <w:r w:rsidR="00B60C9A">
        <w:t>18</w:t>
      </w:r>
      <w:r w:rsidRPr="00B97BAC">
        <w:t xml:space="preserve"> % več </w:t>
      </w:r>
      <w:r w:rsidR="00F97003">
        <w:t>kot</w:t>
      </w:r>
      <w:r w:rsidRPr="00B97BAC">
        <w:t xml:space="preserve"> v letu 20</w:t>
      </w:r>
      <w:r w:rsidR="00E66E11">
        <w:t>2</w:t>
      </w:r>
      <w:r w:rsidR="00B60C9A">
        <w:t>1</w:t>
      </w:r>
      <w:r w:rsidRPr="00B97BAC">
        <w:t xml:space="preserve">. </w:t>
      </w:r>
      <w:r w:rsidR="00E66E11">
        <w:rPr>
          <w:rFonts w:cs="Calibri"/>
        </w:rPr>
        <w:t xml:space="preserve">Obseg kapitala se je lani povečal za </w:t>
      </w:r>
      <w:r w:rsidR="00B60C9A">
        <w:rPr>
          <w:rFonts w:cs="Calibri"/>
        </w:rPr>
        <w:t>7</w:t>
      </w:r>
      <w:r w:rsidR="00E66E11">
        <w:rPr>
          <w:rFonts w:cs="Calibri"/>
        </w:rPr>
        <w:t xml:space="preserve"> %, predvsem zaradi ugotovljenega čistega dobička poslovnega leta. </w:t>
      </w:r>
      <w:r w:rsidR="00B60C9A">
        <w:t xml:space="preserve">Delež kapitala v </w:t>
      </w:r>
      <w:r w:rsidR="00B04435">
        <w:t xml:space="preserve">obveznostih do virov </w:t>
      </w:r>
      <w:r w:rsidR="00B60C9A">
        <w:t>sredstev se je</w:t>
      </w:r>
      <w:r w:rsidR="00B04435">
        <w:t xml:space="preserve"> v primerjavi z letom 2021 iz 50,5 % zmanjšal</w:t>
      </w:r>
      <w:r w:rsidR="00B60C9A">
        <w:t xml:space="preserve"> </w:t>
      </w:r>
      <w:r w:rsidR="00B04435">
        <w:t>na</w:t>
      </w:r>
      <w:r w:rsidR="00B60C9A">
        <w:t xml:space="preserve"> 45,7 %.</w:t>
      </w:r>
      <w:r w:rsidRPr="00B97BAC">
        <w:t xml:space="preserve"> </w:t>
      </w:r>
    </w:p>
    <w:p w14:paraId="71690572" w14:textId="77777777" w:rsidR="00B269B2" w:rsidRDefault="00B269B2" w:rsidP="00471B7B">
      <w:pPr>
        <w:pStyle w:val="Telobesedila"/>
      </w:pPr>
    </w:p>
    <w:p w14:paraId="7715D271" w14:textId="41C6599F" w:rsidR="00BF33EA" w:rsidRPr="00B269B2" w:rsidRDefault="00BF33EA" w:rsidP="00471B7B">
      <w:pPr>
        <w:pStyle w:val="Telobesedila"/>
        <w:rPr>
          <w:b/>
        </w:rPr>
      </w:pPr>
      <w:r w:rsidRPr="00B269B2">
        <w:rPr>
          <w:b/>
        </w:rPr>
        <w:t xml:space="preserve">PODJETNIKI </w:t>
      </w:r>
    </w:p>
    <w:p w14:paraId="299DA110" w14:textId="763FA164" w:rsidR="00BF33EA" w:rsidRDefault="00BF33EA" w:rsidP="00471B7B">
      <w:pPr>
        <w:pStyle w:val="Telobesedila"/>
      </w:pPr>
    </w:p>
    <w:p w14:paraId="0F5FBC3B" w14:textId="6BCB1A64" w:rsidR="00495071" w:rsidRDefault="00E22C89" w:rsidP="00471B7B">
      <w:pPr>
        <w:pStyle w:val="Telobesedila"/>
      </w:pPr>
      <w:r w:rsidRPr="00B97BAC">
        <w:t>Š</w:t>
      </w:r>
      <w:r w:rsidR="00471B7B" w:rsidRPr="00B97BAC">
        <w:t>tevilo podjetnikov, ki so obdavčeni na podlagi ugotovljenega dobička z upoštevanjem normiranih dohodkov</w:t>
      </w:r>
      <w:r w:rsidRPr="00B97BAC">
        <w:t xml:space="preserve"> in </w:t>
      </w:r>
      <w:r w:rsidR="00471B7B" w:rsidRPr="00B97BAC">
        <w:t>niso zavezani za predložitev letnega poročila</w:t>
      </w:r>
      <w:r w:rsidRPr="00B97BAC">
        <w:t xml:space="preserve"> se </w:t>
      </w:r>
      <w:r w:rsidR="00C12838" w:rsidRPr="00B97BAC">
        <w:t>še naprej povečuje</w:t>
      </w:r>
      <w:r w:rsidRPr="00B97BAC">
        <w:t>. V letu 202</w:t>
      </w:r>
      <w:r w:rsidR="00CD0CF8">
        <w:t>2</w:t>
      </w:r>
      <w:r w:rsidRPr="00B97BAC">
        <w:t xml:space="preserve"> jih je bilo </w:t>
      </w:r>
      <w:r w:rsidR="00CD0CF8">
        <w:t>6.985</w:t>
      </w:r>
      <w:r w:rsidR="009E138E" w:rsidRPr="00B97BAC">
        <w:t xml:space="preserve">, </w:t>
      </w:r>
      <w:r w:rsidR="00CD0CF8">
        <w:t>726</w:t>
      </w:r>
      <w:r w:rsidR="00FD41F8" w:rsidRPr="00B97BAC">
        <w:t xml:space="preserve"> več kot v letu 202</w:t>
      </w:r>
      <w:r w:rsidR="00CD0CF8">
        <w:t>1</w:t>
      </w:r>
      <w:r w:rsidR="009E138E" w:rsidRPr="00B97BAC">
        <w:t>.</w:t>
      </w:r>
    </w:p>
    <w:p w14:paraId="08EE9FF2" w14:textId="548A1939" w:rsidR="0071643C" w:rsidRDefault="0071643C" w:rsidP="00471B7B">
      <w:pPr>
        <w:pStyle w:val="Telobesedila"/>
      </w:pPr>
    </w:p>
    <w:p w14:paraId="0F282D32" w14:textId="54ADBB79" w:rsidR="0071643C" w:rsidRDefault="0071643C" w:rsidP="00471B7B">
      <w:pPr>
        <w:pStyle w:val="Telobesedila"/>
      </w:pPr>
      <w:r>
        <w:t>Primerjave z letom 2021 so izražene z indeksi, razen števila podjetnikov.</w:t>
      </w:r>
    </w:p>
    <w:p w14:paraId="26935850" w14:textId="72F33D14" w:rsidR="00FE5EB5" w:rsidRDefault="00B269B2" w:rsidP="00471B7B">
      <w:pPr>
        <w:pStyle w:val="Telobesedila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1013E7" wp14:editId="1B692DC1">
            <wp:simplePos x="0" y="0"/>
            <wp:positionH relativeFrom="margin">
              <wp:posOffset>1338994</wp:posOffset>
            </wp:positionH>
            <wp:positionV relativeFrom="paragraph">
              <wp:posOffset>12728</wp:posOffset>
            </wp:positionV>
            <wp:extent cx="3259455" cy="3696970"/>
            <wp:effectExtent l="0" t="0" r="0" b="0"/>
            <wp:wrapTight wrapText="bothSides">
              <wp:wrapPolygon edited="0">
                <wp:start x="505" y="223"/>
                <wp:lineTo x="505" y="1336"/>
                <wp:lineTo x="1262" y="2226"/>
                <wp:lineTo x="1894" y="2226"/>
                <wp:lineTo x="631" y="2671"/>
                <wp:lineTo x="379" y="3005"/>
                <wp:lineTo x="379" y="6567"/>
                <wp:lineTo x="6438" y="7569"/>
                <wp:lineTo x="1389" y="7680"/>
                <wp:lineTo x="631" y="7791"/>
                <wp:lineTo x="505" y="13468"/>
                <wp:lineTo x="5555" y="14692"/>
                <wp:lineTo x="1010" y="15026"/>
                <wp:lineTo x="505" y="15137"/>
                <wp:lineTo x="1010" y="16473"/>
                <wp:lineTo x="631" y="17029"/>
                <wp:lineTo x="505" y="20925"/>
                <wp:lineTo x="19441" y="20925"/>
                <wp:lineTo x="19441" y="20034"/>
                <wp:lineTo x="21082" y="20034"/>
                <wp:lineTo x="21461" y="19700"/>
                <wp:lineTo x="21335" y="18254"/>
                <wp:lineTo x="20577" y="17586"/>
                <wp:lineTo x="19441" y="15471"/>
                <wp:lineTo x="19441" y="14803"/>
                <wp:lineTo x="18810" y="14692"/>
                <wp:lineTo x="19441" y="12911"/>
                <wp:lineTo x="21335" y="12577"/>
                <wp:lineTo x="21335" y="12021"/>
                <wp:lineTo x="19441" y="11130"/>
                <wp:lineTo x="21082" y="11130"/>
                <wp:lineTo x="21082" y="10685"/>
                <wp:lineTo x="19189" y="9349"/>
                <wp:lineTo x="19315" y="8236"/>
                <wp:lineTo x="17043" y="7680"/>
                <wp:lineTo x="13887" y="7569"/>
                <wp:lineTo x="19694" y="6456"/>
                <wp:lineTo x="19568" y="5788"/>
                <wp:lineTo x="20704" y="5788"/>
                <wp:lineTo x="21335" y="5120"/>
                <wp:lineTo x="21461" y="3896"/>
                <wp:lineTo x="18810" y="2226"/>
                <wp:lineTo x="19063" y="668"/>
                <wp:lineTo x="18936" y="223"/>
                <wp:lineTo x="505" y="223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369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39D5C" w14:textId="50DE15B2" w:rsidR="00EB3FB0" w:rsidRDefault="00EB3FB0" w:rsidP="00FE5EB5">
      <w:pPr>
        <w:pStyle w:val="Telobesedila"/>
        <w:jc w:val="center"/>
      </w:pPr>
    </w:p>
    <w:p w14:paraId="3F36858E" w14:textId="77777777" w:rsidR="00FE5EB5" w:rsidRDefault="00FE5EB5" w:rsidP="00FE5EB5">
      <w:pPr>
        <w:pStyle w:val="Telobesedila"/>
        <w:jc w:val="center"/>
      </w:pPr>
    </w:p>
    <w:p w14:paraId="7689DF1D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3DAEB2C2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68768D04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31A40C96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3B8732CD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49284315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79C1A9E5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2CB78056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560BF9DA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685D6AC7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507AA014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650E1458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7F4C305E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7CDE4C33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5C1F54DA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60F4CD48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44AE671E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0BADF944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3D3C7947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6FC0C5E2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799CE390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4695AB74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7358ADD7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4D540841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06D8A8B8" w14:textId="77777777" w:rsidR="00176E0A" w:rsidRDefault="00176E0A" w:rsidP="00FE5EB5">
      <w:pPr>
        <w:jc w:val="both"/>
        <w:rPr>
          <w:rFonts w:ascii="Calibri" w:eastAsia="Times New Roman" w:hAnsi="Calibri" w:cs="Calibri"/>
          <w:bCs/>
          <w:color w:val="262626"/>
          <w:sz w:val="16"/>
          <w:szCs w:val="16"/>
          <w:lang w:val="sl-SI" w:eastAsia="sl-SI"/>
        </w:rPr>
      </w:pPr>
    </w:p>
    <w:p w14:paraId="7F2F9AEB" w14:textId="77777777" w:rsidR="00BB3E91" w:rsidRDefault="00BB3E91" w:rsidP="00FE5EB5">
      <w:pPr>
        <w:jc w:val="both"/>
        <w:rPr>
          <w:rFonts w:ascii="Calibri" w:eastAsia="Times New Roman" w:hAnsi="Calibri" w:cs="Calibri"/>
          <w:bCs/>
          <w:i/>
          <w:color w:val="262626"/>
          <w:sz w:val="16"/>
          <w:szCs w:val="16"/>
          <w:lang w:val="sl-SI" w:eastAsia="sl-SI"/>
        </w:rPr>
      </w:pPr>
    </w:p>
    <w:p w14:paraId="4DA1C6BF" w14:textId="66F0EE5F" w:rsidR="00B269B2" w:rsidRDefault="00B269B2" w:rsidP="00FE5EB5">
      <w:pPr>
        <w:jc w:val="both"/>
        <w:rPr>
          <w:rFonts w:ascii="Calibri" w:eastAsia="Times New Roman" w:hAnsi="Calibri" w:cs="Calibri"/>
          <w:bCs/>
          <w:i/>
          <w:color w:val="262626"/>
          <w:sz w:val="16"/>
          <w:szCs w:val="16"/>
          <w:lang w:val="sl-SI" w:eastAsia="sl-SI"/>
        </w:rPr>
      </w:pPr>
    </w:p>
    <w:p w14:paraId="1B69F957" w14:textId="5025194B" w:rsidR="00FE5EB5" w:rsidRDefault="00FE5EB5" w:rsidP="00FE5EB5">
      <w:pPr>
        <w:jc w:val="both"/>
        <w:rPr>
          <w:rFonts w:ascii="Calibri" w:eastAsia="Times New Roman" w:hAnsi="Calibri" w:cs="Calibri"/>
          <w:bCs/>
          <w:i/>
          <w:color w:val="262626"/>
          <w:sz w:val="16"/>
          <w:szCs w:val="16"/>
          <w:lang w:val="sl-SI" w:eastAsia="sl-SI"/>
        </w:rPr>
      </w:pPr>
      <w:r w:rsidRPr="00BB3E91">
        <w:rPr>
          <w:rFonts w:ascii="Calibri" w:eastAsia="Times New Roman" w:hAnsi="Calibri" w:cs="Calibri"/>
          <w:bCs/>
          <w:i/>
          <w:color w:val="262626"/>
          <w:sz w:val="16"/>
          <w:szCs w:val="16"/>
          <w:lang w:val="sl-SI" w:eastAsia="sl-SI"/>
        </w:rPr>
        <w:t>Opomba: * realna rast glede na indeks cen življenjskih potrebščin v obdobju januar - december 2022 v primerjavi z obdobjem januar - december 2121, ki je znašal 108,8 (vir: Statistični urad RS).</w:t>
      </w:r>
    </w:p>
    <w:p w14:paraId="497A6FDD" w14:textId="3EB5E852" w:rsidR="00EB3FB0" w:rsidRDefault="00BD4AB3" w:rsidP="00471B7B">
      <w:pPr>
        <w:pStyle w:val="Telobesedila"/>
      </w:pPr>
      <w:r>
        <w:lastRenderedPageBreak/>
        <w:t xml:space="preserve">Za leto 2022 je letno poročilo predložilo 165 podjetnikov manj kot za leto 2021. Tako kot družbe so tudi podjetniki v letu 2022 realizirali več prihodkov kot v letu 2021 (+ 20 %). Prihodki podjetnikov predstavljajo 6 % prihodkov družb, ustvarjeni so bili pretežno s prodajo na domačem trgu. Izkazan neto podjetnikov dohodek, ki vključuje tudi plačilo za delo podjetnika samega, se je povečal za 9 % in je znašal 48 milijonov evrov. </w:t>
      </w:r>
    </w:p>
    <w:p w14:paraId="639E5F90" w14:textId="4DC505FB" w:rsidR="00FE5EB5" w:rsidRDefault="00FE5EB5" w:rsidP="00471B7B">
      <w:pPr>
        <w:pStyle w:val="Telobesedila"/>
      </w:pPr>
    </w:p>
    <w:p w14:paraId="3B0FAD1A" w14:textId="7EEAE548" w:rsidR="00FE5EB5" w:rsidRPr="00B97BAC" w:rsidRDefault="00FE5EB5" w:rsidP="00FE5EB5">
      <w:pPr>
        <w:pStyle w:val="Telobesedila"/>
      </w:pPr>
      <w:r w:rsidRPr="00B97BAC">
        <w:t>Gorenjski podjetniki so v letu 202</w:t>
      </w:r>
      <w:r>
        <w:t>2</w:t>
      </w:r>
      <w:r w:rsidRPr="00B97BAC">
        <w:t xml:space="preserve"> zaposlovali </w:t>
      </w:r>
      <w:r>
        <w:t>3.712</w:t>
      </w:r>
      <w:r w:rsidRPr="00B97BAC">
        <w:t xml:space="preserve"> delavcev, </w:t>
      </w:r>
      <w:r>
        <w:t>8 %</w:t>
      </w:r>
      <w:r w:rsidRPr="00B97BAC">
        <w:t xml:space="preserve"> več kot v letu 202</w:t>
      </w:r>
      <w:r>
        <w:t>1</w:t>
      </w:r>
      <w:r w:rsidRPr="00EB3FB0">
        <w:t>. V podatek o številu zaposlenih nosilci dejavnosti oziroma lastniki niso zajeti. 68 % samostojnih podjetnikov rešuje lasten obstoj oz. so brez zaposlenih. 53 podjetnikov nudi delo več kot 10 zaposlenim.</w:t>
      </w:r>
    </w:p>
    <w:p w14:paraId="4FD5F76A" w14:textId="77777777" w:rsidR="00C942D7" w:rsidRDefault="00C942D7" w:rsidP="009E138E">
      <w:pPr>
        <w:pStyle w:val="Telobesedila"/>
      </w:pPr>
    </w:p>
    <w:p w14:paraId="62D84F11" w14:textId="19E34221" w:rsidR="009E138E" w:rsidRPr="00B97BAC" w:rsidRDefault="009E138E" w:rsidP="009E138E">
      <w:pPr>
        <w:pStyle w:val="Telobesedila"/>
      </w:pPr>
      <w:r w:rsidRPr="00D8181F">
        <w:t xml:space="preserve">Podjetniki so ustvarili </w:t>
      </w:r>
      <w:r w:rsidR="00BD4AB3">
        <w:t>159</w:t>
      </w:r>
      <w:r w:rsidRPr="00D8181F">
        <w:t xml:space="preserve"> milijonov evrov neto dodane vrednosti, </w:t>
      </w:r>
      <w:r w:rsidR="006767AA" w:rsidRPr="00D8181F">
        <w:t>1</w:t>
      </w:r>
      <w:r w:rsidR="00BD4AB3">
        <w:t>4</w:t>
      </w:r>
      <w:r w:rsidRPr="00D8181F">
        <w:t xml:space="preserve"> % </w:t>
      </w:r>
      <w:r w:rsidR="006767AA" w:rsidRPr="00D8181F">
        <w:t>več</w:t>
      </w:r>
      <w:r w:rsidRPr="00D8181F">
        <w:t xml:space="preserve"> </w:t>
      </w:r>
      <w:r w:rsidR="00F97003">
        <w:t>kot</w:t>
      </w:r>
      <w:r w:rsidRPr="00D8181F">
        <w:t xml:space="preserve"> v letu 20</w:t>
      </w:r>
      <w:r w:rsidR="006767AA" w:rsidRPr="00D8181F">
        <w:t>2</w:t>
      </w:r>
      <w:r w:rsidR="00BD4AB3">
        <w:t>1</w:t>
      </w:r>
      <w:r w:rsidRPr="00D8181F">
        <w:t xml:space="preserve">. Neto dodana vrednost podjetnikov je pomenila </w:t>
      </w:r>
      <w:r w:rsidR="00BD4AB3">
        <w:t>slabih 6</w:t>
      </w:r>
      <w:r w:rsidRPr="00D8181F">
        <w:t xml:space="preserve"> % neto dodane vrednosti družb. Neto dodana vrednost na zaposlenega je </w:t>
      </w:r>
      <w:r w:rsidR="009E57B8" w:rsidRPr="00D8181F">
        <w:t>znašala</w:t>
      </w:r>
      <w:r w:rsidRPr="00D8181F">
        <w:t xml:space="preserve"> </w:t>
      </w:r>
      <w:r w:rsidR="00BD4AB3">
        <w:t>42.957</w:t>
      </w:r>
      <w:r w:rsidRPr="00D8181F">
        <w:t xml:space="preserve"> evrov, </w:t>
      </w:r>
      <w:r w:rsidR="00BD4AB3">
        <w:t>6</w:t>
      </w:r>
      <w:r w:rsidRPr="00D8181F">
        <w:t xml:space="preserve"> % </w:t>
      </w:r>
      <w:r w:rsidR="006767AA" w:rsidRPr="00D8181F">
        <w:t>več</w:t>
      </w:r>
      <w:r w:rsidRPr="00D8181F">
        <w:t xml:space="preserve"> </w:t>
      </w:r>
      <w:r w:rsidR="006767AA" w:rsidRPr="00D8181F">
        <w:t>kot</w:t>
      </w:r>
      <w:r w:rsidRPr="00D8181F">
        <w:t xml:space="preserve"> v letu</w:t>
      </w:r>
      <w:r w:rsidRPr="00B97BAC">
        <w:t xml:space="preserve"> 20</w:t>
      </w:r>
      <w:r w:rsidR="006767AA" w:rsidRPr="00B97BAC">
        <w:t>2</w:t>
      </w:r>
      <w:r w:rsidR="00BD4AB3">
        <w:t>1</w:t>
      </w:r>
      <w:r w:rsidRPr="00B97BAC">
        <w:t xml:space="preserve">, neto dodana vrednost na nosilca dejavnosti skupaj z njegovimi zaposlenimi, ki so prav tako ustvarjalci dejavnosti pa je znašala </w:t>
      </w:r>
      <w:r w:rsidR="00BD4AB3">
        <w:t>17.999</w:t>
      </w:r>
      <w:r w:rsidRPr="00B97BAC">
        <w:t xml:space="preserve"> evrov, </w:t>
      </w:r>
      <w:r w:rsidR="006767AA" w:rsidRPr="00B97BAC">
        <w:t>1</w:t>
      </w:r>
      <w:r w:rsidR="00BD4AB3">
        <w:t>1</w:t>
      </w:r>
      <w:r w:rsidR="006767AA" w:rsidRPr="00B97BAC">
        <w:t xml:space="preserve"> % več</w:t>
      </w:r>
      <w:r w:rsidRPr="00B97BAC">
        <w:t xml:space="preserve"> </w:t>
      </w:r>
      <w:r w:rsidR="006767AA" w:rsidRPr="00B97BAC">
        <w:t>kot</w:t>
      </w:r>
      <w:r w:rsidRPr="00B97BAC">
        <w:t xml:space="preserve"> leto poprej. Neto dodano vrednost so ugotovile vse dejavnosti in vse občine v regiji, več kot 70 % celotne NDV pa so ustvarile najmočnejše gospodarske panoge: gradbeništvo 2</w:t>
      </w:r>
      <w:r w:rsidR="00BD4AB3">
        <w:t>7</w:t>
      </w:r>
      <w:r w:rsidRPr="00B97BAC">
        <w:t xml:space="preserve"> %, predelovalne dejavnosti 2</w:t>
      </w:r>
      <w:r w:rsidR="00FA7929">
        <w:t>0</w:t>
      </w:r>
      <w:r w:rsidRPr="00B97BAC">
        <w:t xml:space="preserve"> %, trgovina in gostinstvo </w:t>
      </w:r>
      <w:r w:rsidR="008F5E66" w:rsidRPr="00B97BAC">
        <w:t>1</w:t>
      </w:r>
      <w:r w:rsidR="00FA7929">
        <w:t>3</w:t>
      </w:r>
      <w:r w:rsidRPr="00B97BAC">
        <w:t xml:space="preserve"> %.</w:t>
      </w:r>
    </w:p>
    <w:p w14:paraId="42DC3645" w14:textId="179AFF6C" w:rsidR="00E22C89" w:rsidRPr="00B97BAC" w:rsidRDefault="00E22C89" w:rsidP="009E138E">
      <w:pPr>
        <w:pStyle w:val="Telobesedila"/>
      </w:pPr>
    </w:p>
    <w:p w14:paraId="3FB17544" w14:textId="17421A5C" w:rsidR="00E22C89" w:rsidRPr="00B97BAC" w:rsidRDefault="00E22C89" w:rsidP="00E22C89">
      <w:pPr>
        <w:pStyle w:val="Telobesedila"/>
      </w:pPr>
      <w:r w:rsidRPr="00B97BAC">
        <w:t>Po obsegu ekonomskih postavk je v preteklem letu izstopalo 7</w:t>
      </w:r>
      <w:r w:rsidR="00FA7929">
        <w:t>13</w:t>
      </w:r>
      <w:r w:rsidRPr="00B97BAC">
        <w:t xml:space="preserve"> podjetnikov</w:t>
      </w:r>
      <w:r w:rsidR="008F5E66" w:rsidRPr="00B97BAC">
        <w:t xml:space="preserve"> predelovalne dejavnosti</w:t>
      </w:r>
      <w:r w:rsidRPr="00B97BAC">
        <w:t xml:space="preserve"> in </w:t>
      </w:r>
      <w:r w:rsidR="00FA7929">
        <w:t>1.239</w:t>
      </w:r>
      <w:r w:rsidRPr="00B97BAC">
        <w:t xml:space="preserve"> podjetnikov</w:t>
      </w:r>
      <w:r w:rsidR="00F97003">
        <w:t xml:space="preserve"> </w:t>
      </w:r>
      <w:r w:rsidRPr="00B97BAC">
        <w:t>-</w:t>
      </w:r>
      <w:r w:rsidR="00F97003">
        <w:t xml:space="preserve"> </w:t>
      </w:r>
      <w:r w:rsidRPr="00B97BAC">
        <w:t xml:space="preserve">gradbenikov, saj so v teh dveh dejavnostih skupaj zaposlovali </w:t>
      </w:r>
      <w:r w:rsidR="00FA7929">
        <w:t>skoraj polovico vseh</w:t>
      </w:r>
      <w:r w:rsidRPr="00B97BAC">
        <w:t xml:space="preserve"> zaposlenih</w:t>
      </w:r>
      <w:r w:rsidR="00FA7929">
        <w:t xml:space="preserve"> pri podjetnikih v regiji</w:t>
      </w:r>
      <w:r w:rsidRPr="00B97BAC">
        <w:t xml:space="preserve"> in ustvarili </w:t>
      </w:r>
      <w:r w:rsidR="00FA7929">
        <w:t xml:space="preserve">43 </w:t>
      </w:r>
      <w:r w:rsidRPr="00B97BAC">
        <w:t xml:space="preserve">% vseh regijskih prihodkov. </w:t>
      </w:r>
    </w:p>
    <w:p w14:paraId="5786B04B" w14:textId="77777777" w:rsidR="009E57B8" w:rsidRPr="00B97BAC" w:rsidRDefault="009E57B8" w:rsidP="00E22C89">
      <w:pPr>
        <w:pStyle w:val="Telobesedila"/>
      </w:pPr>
    </w:p>
    <w:p w14:paraId="15EC80E8" w14:textId="3E6C9E0A" w:rsidR="00E22C89" w:rsidRPr="00FF0485" w:rsidRDefault="00E22C89" w:rsidP="00E22C89">
      <w:pPr>
        <w:pStyle w:val="Telobesedila"/>
      </w:pPr>
      <w:r w:rsidRPr="00B97BAC">
        <w:t>Gorenjski podjetniki so konec leta 202</w:t>
      </w:r>
      <w:r w:rsidR="00FA7929">
        <w:t>2</w:t>
      </w:r>
      <w:r w:rsidRPr="00B97BAC">
        <w:t xml:space="preserve"> razpolagali s </w:t>
      </w:r>
      <w:r w:rsidR="00FA7929">
        <w:t>384</w:t>
      </w:r>
      <w:r w:rsidR="009E57B8" w:rsidRPr="00B97BAC">
        <w:t xml:space="preserve"> </w:t>
      </w:r>
      <w:r w:rsidR="00FA7929">
        <w:t>milijoni</w:t>
      </w:r>
      <w:r w:rsidR="009E57B8" w:rsidRPr="00B97BAC">
        <w:t xml:space="preserve"> </w:t>
      </w:r>
      <w:r w:rsidRPr="00B97BAC">
        <w:t xml:space="preserve">evri sredstev oz. obveznostmi do virov sredstev, kar je </w:t>
      </w:r>
      <w:r w:rsidR="008F5E66" w:rsidRPr="00B97BAC">
        <w:t>10</w:t>
      </w:r>
      <w:r w:rsidRPr="00B97BAC">
        <w:t xml:space="preserve"> % več kot leto prej. Delež podjetnikovega kapitala v virih sredstev, kot najkvalitetnejšega vira financiranja sredstev, je v regiji znašal </w:t>
      </w:r>
      <w:r w:rsidR="008F5E66" w:rsidRPr="00B97BAC">
        <w:t>58,</w:t>
      </w:r>
      <w:r w:rsidR="00FA7929">
        <w:t>0</w:t>
      </w:r>
      <w:r w:rsidRPr="00B97BAC">
        <w:t xml:space="preserve"> %</w:t>
      </w:r>
      <w:r w:rsidRPr="00FF0485">
        <w:t xml:space="preserve">, v državi pa </w:t>
      </w:r>
      <w:r w:rsidR="008F5E66" w:rsidRPr="00FF0485">
        <w:t>56,</w:t>
      </w:r>
      <w:r w:rsidR="00FA7929" w:rsidRPr="00FF0485">
        <w:t>4</w:t>
      </w:r>
      <w:r w:rsidRPr="00FF0485">
        <w:t xml:space="preserve"> %.</w:t>
      </w:r>
    </w:p>
    <w:p w14:paraId="122F4866" w14:textId="77A170F8" w:rsidR="007278D0" w:rsidRPr="00B97BAC" w:rsidRDefault="007278D0" w:rsidP="00471B7B">
      <w:pPr>
        <w:pStyle w:val="Telobesedila"/>
      </w:pPr>
    </w:p>
    <w:p w14:paraId="2A1F0B17" w14:textId="6FFFE6A5" w:rsidR="009E57B8" w:rsidRPr="00B97BAC" w:rsidRDefault="00FE62CE" w:rsidP="009E57B8">
      <w:pPr>
        <w:pStyle w:val="Telobesedila"/>
      </w:pPr>
      <w:r w:rsidRPr="00B97BAC">
        <w:t>Podatke iz letnih poročil je predložilo tudi</w:t>
      </w:r>
      <w:r w:rsidR="00495071" w:rsidRPr="00B97BAC">
        <w:t xml:space="preserve"> </w:t>
      </w:r>
      <w:r w:rsidR="00FF0485">
        <w:t>37</w:t>
      </w:r>
      <w:r w:rsidR="00495071" w:rsidRPr="00B97BAC">
        <w:t xml:space="preserve"> zadrug</w:t>
      </w:r>
      <w:r w:rsidR="009E57B8" w:rsidRPr="00B97BAC">
        <w:t xml:space="preserve"> (</w:t>
      </w:r>
      <w:r w:rsidR="00046D57">
        <w:t>2</w:t>
      </w:r>
      <w:r w:rsidR="00FF0485">
        <w:t>7</w:t>
      </w:r>
      <w:r w:rsidR="009E57B8" w:rsidRPr="00B97BAC">
        <w:t xml:space="preserve"> </w:t>
      </w:r>
      <w:proofErr w:type="spellStart"/>
      <w:r w:rsidR="009E57B8" w:rsidRPr="00B97BAC">
        <w:t>mikro</w:t>
      </w:r>
      <w:proofErr w:type="spellEnd"/>
      <w:r w:rsidR="009E57B8" w:rsidRPr="00B97BAC">
        <w:t xml:space="preserve">, </w:t>
      </w:r>
      <w:r w:rsidR="00466349">
        <w:t>6</w:t>
      </w:r>
      <w:r w:rsidR="009E57B8" w:rsidRPr="00B97BAC">
        <w:t xml:space="preserve"> majhnih in 4 srednje velike zadruge), </w:t>
      </w:r>
      <w:r w:rsidR="002C7795" w:rsidRPr="00B97BAC">
        <w:t xml:space="preserve">ki so </w:t>
      </w:r>
      <w:r w:rsidR="009E57B8" w:rsidRPr="00B97BAC">
        <w:t>ustvaril</w:t>
      </w:r>
      <w:r w:rsidR="002C7795" w:rsidRPr="00B97BAC">
        <w:t>e</w:t>
      </w:r>
      <w:r w:rsidR="009E57B8" w:rsidRPr="00B97BAC">
        <w:t xml:space="preserve"> </w:t>
      </w:r>
      <w:r w:rsidR="00FF0485">
        <w:t>18</w:t>
      </w:r>
      <w:r w:rsidR="000E0075">
        <w:t>5</w:t>
      </w:r>
      <w:r w:rsidR="00F2368E">
        <w:t xml:space="preserve"> milijonov</w:t>
      </w:r>
      <w:r w:rsidR="009E57B8" w:rsidRPr="00B97BAC">
        <w:t xml:space="preserve"> evrov prihodkov in odhodkov. Tako prihodki </w:t>
      </w:r>
      <w:r w:rsidR="00F97003">
        <w:t>kot</w:t>
      </w:r>
      <w:r w:rsidR="009E57B8" w:rsidRPr="00B97BAC">
        <w:t xml:space="preserve"> tudi odhodki so se v primerjavi z letom 20</w:t>
      </w:r>
      <w:r w:rsidR="00466349">
        <w:t>2</w:t>
      </w:r>
      <w:r w:rsidR="00FF0485">
        <w:t>1</w:t>
      </w:r>
      <w:r w:rsidR="009E57B8" w:rsidRPr="00B97BAC">
        <w:t xml:space="preserve"> povečal</w:t>
      </w:r>
      <w:r w:rsidR="00602F29" w:rsidRPr="00B97BAC">
        <w:t>i</w:t>
      </w:r>
      <w:r w:rsidR="009E57B8" w:rsidRPr="00B97BAC">
        <w:t xml:space="preserve"> za </w:t>
      </w:r>
      <w:r w:rsidR="00FF0485">
        <w:t>26</w:t>
      </w:r>
      <w:r w:rsidR="009E57B8" w:rsidRPr="00B97BAC">
        <w:t xml:space="preserve"> %</w:t>
      </w:r>
      <w:r w:rsidR="00466349">
        <w:t xml:space="preserve">. </w:t>
      </w:r>
      <w:r w:rsidR="009E57B8" w:rsidRPr="00B97BAC">
        <w:t>Prihodki zadrug so pomenili 1,</w:t>
      </w:r>
      <w:r w:rsidR="00FF0485">
        <w:t>9</w:t>
      </w:r>
      <w:r w:rsidR="009E57B8" w:rsidRPr="00B97BAC">
        <w:t xml:space="preserve"> % prihodkov družb.</w:t>
      </w:r>
    </w:p>
    <w:p w14:paraId="460AAAD2" w14:textId="77777777" w:rsidR="009E57B8" w:rsidRPr="00B97BAC" w:rsidRDefault="009E57B8" w:rsidP="009E57B8">
      <w:pPr>
        <w:pStyle w:val="Telobesedila"/>
      </w:pPr>
    </w:p>
    <w:p w14:paraId="0FAF0C8E" w14:textId="7DD12588" w:rsidR="00B76462" w:rsidRPr="00B97BAC" w:rsidRDefault="009E57B8" w:rsidP="009E57B8">
      <w:pPr>
        <w:pStyle w:val="Telobesedila"/>
      </w:pPr>
      <w:r w:rsidRPr="00B97BAC">
        <w:t xml:space="preserve">V zadrugah </w:t>
      </w:r>
      <w:r w:rsidR="00FF0485">
        <w:t>je bilo 314 zaposlenih</w:t>
      </w:r>
      <w:r w:rsidRPr="00B97BAC">
        <w:t xml:space="preserve">, </w:t>
      </w:r>
      <w:r w:rsidR="00466349">
        <w:t>1</w:t>
      </w:r>
      <w:r w:rsidR="00FF0485">
        <w:t>1</w:t>
      </w:r>
      <w:r w:rsidRPr="00B97BAC">
        <w:t xml:space="preserve"> več </w:t>
      </w:r>
      <w:r w:rsidR="00F97003">
        <w:t>kot</w:t>
      </w:r>
      <w:r w:rsidRPr="00B97BAC">
        <w:t xml:space="preserve"> v letu 20</w:t>
      </w:r>
      <w:r w:rsidR="00466349">
        <w:t>2</w:t>
      </w:r>
      <w:r w:rsidR="00FF0485">
        <w:t>1</w:t>
      </w:r>
      <w:r w:rsidRPr="00B97BAC">
        <w:t xml:space="preserve"> in so pomenili </w:t>
      </w:r>
      <w:r w:rsidR="00FF0485">
        <w:t>0,6</w:t>
      </w:r>
      <w:r w:rsidRPr="00B97BAC">
        <w:t xml:space="preserve"> % zaposlenih v družbah. V letu 202</w:t>
      </w:r>
      <w:r w:rsidR="00FF0485">
        <w:t>2</w:t>
      </w:r>
      <w:r w:rsidRPr="00B97BAC">
        <w:t xml:space="preserve"> je čisti dobiček v znes</w:t>
      </w:r>
      <w:r w:rsidR="00466349">
        <w:t>k</w:t>
      </w:r>
      <w:r w:rsidRPr="00B97BAC">
        <w:t xml:space="preserve">u </w:t>
      </w:r>
      <w:r w:rsidR="00FF0485">
        <w:t>548</w:t>
      </w:r>
      <w:r w:rsidRPr="00B97BAC">
        <w:t xml:space="preserve"> tisoč evrov </w:t>
      </w:r>
      <w:r w:rsidR="002C7795" w:rsidRPr="00B97BAC">
        <w:t>(</w:t>
      </w:r>
      <w:r w:rsidR="00FF0485">
        <w:t>+ 4</w:t>
      </w:r>
      <w:r w:rsidR="00466349">
        <w:t>5</w:t>
      </w:r>
      <w:r w:rsidRPr="00B97BAC">
        <w:t xml:space="preserve"> %</w:t>
      </w:r>
      <w:r w:rsidR="002C7795" w:rsidRPr="00B97BAC">
        <w:t>)</w:t>
      </w:r>
      <w:r w:rsidRPr="00B97BAC">
        <w:t xml:space="preserve"> ugotovilo 2</w:t>
      </w:r>
      <w:r w:rsidR="00FF0485">
        <w:t>2</w:t>
      </w:r>
      <w:r w:rsidRPr="00B97BAC">
        <w:t xml:space="preserve"> zadrug. </w:t>
      </w:r>
      <w:r w:rsidR="00FF0485">
        <w:t>14</w:t>
      </w:r>
      <w:r w:rsidRPr="00B97BAC">
        <w:t xml:space="preserve"> zadrug je poslovalo negativno. Pridelale so </w:t>
      </w:r>
      <w:r w:rsidR="00FF0485">
        <w:t>122</w:t>
      </w:r>
      <w:r w:rsidRPr="00B97BAC">
        <w:t xml:space="preserve"> tisoč evrov čiste izgube, </w:t>
      </w:r>
      <w:r w:rsidR="00FF0485">
        <w:t>3,5 krat več</w:t>
      </w:r>
      <w:r w:rsidRPr="00B97BAC">
        <w:t xml:space="preserve"> kot </w:t>
      </w:r>
      <w:r w:rsidR="00FF0485">
        <w:t>v letu 2021</w:t>
      </w:r>
      <w:r w:rsidRPr="00B97BAC">
        <w:t xml:space="preserve">. Zadruge so poslovno leto zaključile s </w:t>
      </w:r>
      <w:r w:rsidR="00FF0485">
        <w:t>426</w:t>
      </w:r>
      <w:r w:rsidRPr="00B97BAC">
        <w:t xml:space="preserve"> tisoč evri neto čistega dobička, </w:t>
      </w:r>
      <w:r w:rsidR="00FF0485">
        <w:t>24</w:t>
      </w:r>
      <w:r w:rsidRPr="00B97BAC">
        <w:t xml:space="preserve"> % </w:t>
      </w:r>
      <w:r w:rsidR="00FF0485">
        <w:t xml:space="preserve">več </w:t>
      </w:r>
      <w:r w:rsidRPr="00B97BAC">
        <w:t xml:space="preserve">kot </w:t>
      </w:r>
      <w:r w:rsidR="00FF0485">
        <w:t>leta 2021</w:t>
      </w:r>
      <w:r w:rsidRPr="00B97BAC">
        <w:t xml:space="preserve">. </w:t>
      </w:r>
    </w:p>
    <w:p w14:paraId="49815AE2" w14:textId="77777777" w:rsidR="00B76462" w:rsidRPr="00B97BAC" w:rsidRDefault="00B76462" w:rsidP="00B76462">
      <w:pPr>
        <w:rPr>
          <w:lang w:val="sl-SI"/>
        </w:rPr>
      </w:pPr>
    </w:p>
    <w:p w14:paraId="2E8585FA" w14:textId="40C54D9D" w:rsidR="00B76462" w:rsidRPr="00B97BAC" w:rsidRDefault="00B76462" w:rsidP="00C544D2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b/>
          <w:bCs/>
          <w:color w:val="000000"/>
          <w:sz w:val="22"/>
          <w:szCs w:val="22"/>
          <w:lang w:val="sl-SI"/>
        </w:rPr>
      </w:pPr>
    </w:p>
    <w:p w14:paraId="6C3F6556" w14:textId="3115B96E" w:rsidR="00B76462" w:rsidRPr="00B97BAC" w:rsidRDefault="00B76462" w:rsidP="00C544D2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b/>
          <w:bCs/>
          <w:color w:val="000000"/>
          <w:sz w:val="22"/>
          <w:szCs w:val="22"/>
          <w:lang w:val="sl-SI"/>
        </w:rPr>
      </w:pPr>
    </w:p>
    <w:sectPr w:rsidR="00B76462" w:rsidRPr="00B97BAC" w:rsidSect="005278A7">
      <w:footerReference w:type="default" r:id="rId15"/>
      <w:headerReference w:type="first" r:id="rId16"/>
      <w:footerReference w:type="first" r:id="rId17"/>
      <w:pgSz w:w="11900" w:h="16840"/>
      <w:pgMar w:top="851" w:right="1134" w:bottom="567" w:left="1134" w:header="850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F0C5" w14:textId="77777777" w:rsidR="00B76462" w:rsidRDefault="00B76462" w:rsidP="00346F4F">
      <w:r>
        <w:separator/>
      </w:r>
    </w:p>
  </w:endnote>
  <w:endnote w:type="continuationSeparator" w:id="0">
    <w:p w14:paraId="432DF0C6" w14:textId="77777777" w:rsidR="00B76462" w:rsidRDefault="00B76462" w:rsidP="0034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F0C7" w14:textId="77777777" w:rsidR="00B76462" w:rsidRPr="002575BD" w:rsidRDefault="00B76462" w:rsidP="00346F4F">
    <w:pPr>
      <w:pStyle w:val="Noga"/>
      <w:tabs>
        <w:tab w:val="clear" w:pos="4680"/>
        <w:tab w:val="clear" w:pos="9360"/>
      </w:tabs>
      <w:jc w:val="center"/>
      <w:rPr>
        <w:rFonts w:cstheme="minorHAnsi"/>
        <w:caps/>
        <w:noProof/>
        <w:color w:val="4472C4" w:themeColor="accent1"/>
      </w:rPr>
    </w:pPr>
    <w:r w:rsidRPr="002575BD">
      <w:rPr>
        <w:rFonts w:cstheme="minorHAnsi"/>
        <w:caps/>
        <w:color w:val="4472C4" w:themeColor="accent1"/>
        <w:sz w:val="20"/>
        <w:szCs w:val="20"/>
      </w:rPr>
      <w:fldChar w:fldCharType="begin"/>
    </w:r>
    <w:r w:rsidRPr="002575BD">
      <w:rPr>
        <w:rFonts w:cstheme="minorHAnsi"/>
        <w:caps/>
        <w:color w:val="4472C4" w:themeColor="accent1"/>
        <w:sz w:val="20"/>
        <w:szCs w:val="20"/>
      </w:rPr>
      <w:instrText xml:space="preserve"> PAGE   \* MERGEFORMAT </w:instrText>
    </w:r>
    <w:r w:rsidRPr="002575BD">
      <w:rPr>
        <w:rFonts w:cstheme="minorHAnsi"/>
        <w:caps/>
        <w:color w:val="4472C4" w:themeColor="accent1"/>
        <w:sz w:val="20"/>
        <w:szCs w:val="20"/>
      </w:rPr>
      <w:fldChar w:fldCharType="separate"/>
    </w:r>
    <w:r w:rsidRPr="002575BD">
      <w:rPr>
        <w:rFonts w:cstheme="minorHAnsi"/>
        <w:caps/>
        <w:noProof/>
        <w:color w:val="4472C4" w:themeColor="accent1"/>
        <w:sz w:val="20"/>
        <w:szCs w:val="20"/>
      </w:rPr>
      <w:t>2</w:t>
    </w:r>
    <w:r w:rsidRPr="002575BD">
      <w:rPr>
        <w:rFonts w:cstheme="minorHAnsi"/>
        <w:caps/>
        <w:noProof/>
        <w:color w:val="4472C4" w:themeColor="accent1"/>
        <w:sz w:val="20"/>
        <w:szCs w:val="20"/>
      </w:rPr>
      <w:fldChar w:fldCharType="end"/>
    </w:r>
  </w:p>
  <w:p w14:paraId="432DF0C8" w14:textId="77777777" w:rsidR="00B76462" w:rsidRDefault="00B764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F0CA" w14:textId="77777777" w:rsidR="00B76462" w:rsidRDefault="00B76462">
    <w:pPr>
      <w:pStyle w:val="Noga"/>
    </w:pPr>
    <w:r>
      <w:rPr>
        <w:noProof/>
        <w:lang w:eastAsia="en-US"/>
      </w:rPr>
      <w:drawing>
        <wp:inline distT="0" distB="0" distL="0" distR="0" wp14:anchorId="432DF0CD" wp14:editId="432DF0CE">
          <wp:extent cx="6116320" cy="330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_dopisa_izpostava K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F0C3" w14:textId="77777777" w:rsidR="00B76462" w:rsidRDefault="00B76462" w:rsidP="00346F4F">
      <w:r>
        <w:separator/>
      </w:r>
    </w:p>
  </w:footnote>
  <w:footnote w:type="continuationSeparator" w:id="0">
    <w:p w14:paraId="432DF0C4" w14:textId="77777777" w:rsidR="00B76462" w:rsidRDefault="00B76462" w:rsidP="0034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F0C9" w14:textId="77777777" w:rsidR="00B76462" w:rsidRDefault="00B76462" w:rsidP="0091533F">
    <w:pPr>
      <w:pStyle w:val="Glava"/>
    </w:pPr>
    <w:r>
      <w:rPr>
        <w:noProof/>
        <w:lang w:eastAsia="en-US"/>
      </w:rPr>
      <w:drawing>
        <wp:inline distT="0" distB="0" distL="0" distR="0" wp14:anchorId="432DF0CB" wp14:editId="432DF0CC">
          <wp:extent cx="6116320" cy="6832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pi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222"/>
    <w:multiLevelType w:val="hybridMultilevel"/>
    <w:tmpl w:val="34C262B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41F"/>
    <w:multiLevelType w:val="hybridMultilevel"/>
    <w:tmpl w:val="D13215B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83D20"/>
    <w:multiLevelType w:val="hybridMultilevel"/>
    <w:tmpl w:val="5748E20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612F3"/>
    <w:multiLevelType w:val="hybridMultilevel"/>
    <w:tmpl w:val="6E1CAF4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86FAD8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74EE1"/>
    <w:multiLevelType w:val="hybridMultilevel"/>
    <w:tmpl w:val="52200988"/>
    <w:lvl w:ilvl="0" w:tplc="00FAD4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26A7A"/>
    <w:multiLevelType w:val="hybridMultilevel"/>
    <w:tmpl w:val="15104768"/>
    <w:lvl w:ilvl="0" w:tplc="1FE28346">
      <w:start w:val="3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08C5"/>
    <w:multiLevelType w:val="hybridMultilevel"/>
    <w:tmpl w:val="251053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92C3E"/>
    <w:multiLevelType w:val="hybridMultilevel"/>
    <w:tmpl w:val="CE004C5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0439B"/>
    <w:multiLevelType w:val="hybridMultilevel"/>
    <w:tmpl w:val="3950183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0BD9"/>
    <w:multiLevelType w:val="hybridMultilevel"/>
    <w:tmpl w:val="39A4C044"/>
    <w:lvl w:ilvl="0" w:tplc="AA6C8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D77E7"/>
    <w:multiLevelType w:val="hybridMultilevel"/>
    <w:tmpl w:val="B346294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C3A4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B6E5F"/>
    <w:multiLevelType w:val="hybridMultilevel"/>
    <w:tmpl w:val="5D620DF0"/>
    <w:lvl w:ilvl="0" w:tplc="23221794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709F436A"/>
    <w:multiLevelType w:val="hybridMultilevel"/>
    <w:tmpl w:val="4EF2054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86FAD8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63C6918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0886289">
    <w:abstractNumId w:val="11"/>
  </w:num>
  <w:num w:numId="2" w16cid:durableId="831527537">
    <w:abstractNumId w:val="7"/>
  </w:num>
  <w:num w:numId="3" w16cid:durableId="552422007">
    <w:abstractNumId w:val="5"/>
  </w:num>
  <w:num w:numId="4" w16cid:durableId="1571846178">
    <w:abstractNumId w:val="0"/>
  </w:num>
  <w:num w:numId="5" w16cid:durableId="287206050">
    <w:abstractNumId w:val="8"/>
  </w:num>
  <w:num w:numId="6" w16cid:durableId="1134757124">
    <w:abstractNumId w:val="9"/>
  </w:num>
  <w:num w:numId="7" w16cid:durableId="1985548714">
    <w:abstractNumId w:val="4"/>
  </w:num>
  <w:num w:numId="8" w16cid:durableId="284846743">
    <w:abstractNumId w:val="2"/>
  </w:num>
  <w:num w:numId="9" w16cid:durableId="1170484261">
    <w:abstractNumId w:val="10"/>
  </w:num>
  <w:num w:numId="10" w16cid:durableId="1084647152">
    <w:abstractNumId w:val="12"/>
  </w:num>
  <w:num w:numId="11" w16cid:durableId="392503843">
    <w:abstractNumId w:val="6"/>
  </w:num>
  <w:num w:numId="12" w16cid:durableId="449786060">
    <w:abstractNumId w:val="1"/>
  </w:num>
  <w:num w:numId="13" w16cid:durableId="579564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4F"/>
    <w:rsid w:val="00004A3A"/>
    <w:rsid w:val="00033CD1"/>
    <w:rsid w:val="00036F03"/>
    <w:rsid w:val="00046D57"/>
    <w:rsid w:val="00056D11"/>
    <w:rsid w:val="000610D3"/>
    <w:rsid w:val="00061DFA"/>
    <w:rsid w:val="00071017"/>
    <w:rsid w:val="00081208"/>
    <w:rsid w:val="0008179B"/>
    <w:rsid w:val="0009143A"/>
    <w:rsid w:val="00096C75"/>
    <w:rsid w:val="000C0DF8"/>
    <w:rsid w:val="000D17D2"/>
    <w:rsid w:val="000E0075"/>
    <w:rsid w:val="000E23AB"/>
    <w:rsid w:val="000E3BFF"/>
    <w:rsid w:val="000F63B9"/>
    <w:rsid w:val="001008B8"/>
    <w:rsid w:val="001170AB"/>
    <w:rsid w:val="0012568D"/>
    <w:rsid w:val="001538A3"/>
    <w:rsid w:val="00157982"/>
    <w:rsid w:val="00163C91"/>
    <w:rsid w:val="0016737C"/>
    <w:rsid w:val="00176E0A"/>
    <w:rsid w:val="0018210F"/>
    <w:rsid w:val="001A260A"/>
    <w:rsid w:val="001A58EE"/>
    <w:rsid w:val="001B54E5"/>
    <w:rsid w:val="001D3037"/>
    <w:rsid w:val="001D3547"/>
    <w:rsid w:val="001D4B04"/>
    <w:rsid w:val="001D7D5A"/>
    <w:rsid w:val="001E0E05"/>
    <w:rsid w:val="001E11DF"/>
    <w:rsid w:val="001E3DF5"/>
    <w:rsid w:val="001F1D23"/>
    <w:rsid w:val="00221B9F"/>
    <w:rsid w:val="00221F38"/>
    <w:rsid w:val="00255F73"/>
    <w:rsid w:val="002575BD"/>
    <w:rsid w:val="00282291"/>
    <w:rsid w:val="002870CB"/>
    <w:rsid w:val="002A38B2"/>
    <w:rsid w:val="002C5C59"/>
    <w:rsid w:val="002C7795"/>
    <w:rsid w:val="002D0BEC"/>
    <w:rsid w:val="002D22A1"/>
    <w:rsid w:val="002D3808"/>
    <w:rsid w:val="002F20B7"/>
    <w:rsid w:val="00300194"/>
    <w:rsid w:val="0031781D"/>
    <w:rsid w:val="00330C02"/>
    <w:rsid w:val="00342EBA"/>
    <w:rsid w:val="00346F4F"/>
    <w:rsid w:val="003802C7"/>
    <w:rsid w:val="003A031A"/>
    <w:rsid w:val="003B50AB"/>
    <w:rsid w:val="003D3BA9"/>
    <w:rsid w:val="003D626F"/>
    <w:rsid w:val="003F3257"/>
    <w:rsid w:val="00400865"/>
    <w:rsid w:val="004039BD"/>
    <w:rsid w:val="004213D0"/>
    <w:rsid w:val="004326BE"/>
    <w:rsid w:val="00437C00"/>
    <w:rsid w:val="004404DE"/>
    <w:rsid w:val="00440FA3"/>
    <w:rsid w:val="004461D4"/>
    <w:rsid w:val="0045509E"/>
    <w:rsid w:val="00466349"/>
    <w:rsid w:val="00471B7B"/>
    <w:rsid w:val="00495071"/>
    <w:rsid w:val="00496180"/>
    <w:rsid w:val="0049765F"/>
    <w:rsid w:val="004C0C85"/>
    <w:rsid w:val="004E2EBC"/>
    <w:rsid w:val="004F455B"/>
    <w:rsid w:val="00501490"/>
    <w:rsid w:val="00511528"/>
    <w:rsid w:val="00526EF1"/>
    <w:rsid w:val="005278A7"/>
    <w:rsid w:val="0053344A"/>
    <w:rsid w:val="0053587A"/>
    <w:rsid w:val="0055169B"/>
    <w:rsid w:val="0057384F"/>
    <w:rsid w:val="00575EDA"/>
    <w:rsid w:val="00583CA9"/>
    <w:rsid w:val="00586FB0"/>
    <w:rsid w:val="005A1C9B"/>
    <w:rsid w:val="005B0AF8"/>
    <w:rsid w:val="005C1134"/>
    <w:rsid w:val="005C56D0"/>
    <w:rsid w:val="005D3358"/>
    <w:rsid w:val="005D35C2"/>
    <w:rsid w:val="00602F29"/>
    <w:rsid w:val="00613453"/>
    <w:rsid w:val="00615851"/>
    <w:rsid w:val="00631D57"/>
    <w:rsid w:val="00634A18"/>
    <w:rsid w:val="00635AEC"/>
    <w:rsid w:val="00641F29"/>
    <w:rsid w:val="006474B6"/>
    <w:rsid w:val="006542F8"/>
    <w:rsid w:val="00656452"/>
    <w:rsid w:val="006767AA"/>
    <w:rsid w:val="006809BC"/>
    <w:rsid w:val="0068173F"/>
    <w:rsid w:val="00681902"/>
    <w:rsid w:val="0069437B"/>
    <w:rsid w:val="006961CC"/>
    <w:rsid w:val="006A2AA2"/>
    <w:rsid w:val="006E40A4"/>
    <w:rsid w:val="006F16E0"/>
    <w:rsid w:val="006F458B"/>
    <w:rsid w:val="006F768D"/>
    <w:rsid w:val="0070208F"/>
    <w:rsid w:val="0071643C"/>
    <w:rsid w:val="00722B1A"/>
    <w:rsid w:val="007278D0"/>
    <w:rsid w:val="00747F17"/>
    <w:rsid w:val="00754142"/>
    <w:rsid w:val="00761DB8"/>
    <w:rsid w:val="007655CC"/>
    <w:rsid w:val="00775C33"/>
    <w:rsid w:val="00782103"/>
    <w:rsid w:val="007A1D11"/>
    <w:rsid w:val="007A6FC9"/>
    <w:rsid w:val="007B0502"/>
    <w:rsid w:val="007B7704"/>
    <w:rsid w:val="007F743F"/>
    <w:rsid w:val="00806E33"/>
    <w:rsid w:val="00814817"/>
    <w:rsid w:val="00816DF8"/>
    <w:rsid w:val="00817089"/>
    <w:rsid w:val="00833876"/>
    <w:rsid w:val="008366D7"/>
    <w:rsid w:val="00847673"/>
    <w:rsid w:val="00857A77"/>
    <w:rsid w:val="00885291"/>
    <w:rsid w:val="008942B8"/>
    <w:rsid w:val="008B0BA7"/>
    <w:rsid w:val="008B65C7"/>
    <w:rsid w:val="008E0FA9"/>
    <w:rsid w:val="008F5E66"/>
    <w:rsid w:val="00901B6A"/>
    <w:rsid w:val="009049E5"/>
    <w:rsid w:val="0091533F"/>
    <w:rsid w:val="009231D5"/>
    <w:rsid w:val="00944F1E"/>
    <w:rsid w:val="00956443"/>
    <w:rsid w:val="00960C34"/>
    <w:rsid w:val="009761DC"/>
    <w:rsid w:val="009874F4"/>
    <w:rsid w:val="009A694B"/>
    <w:rsid w:val="009B182D"/>
    <w:rsid w:val="009D29FD"/>
    <w:rsid w:val="009E138E"/>
    <w:rsid w:val="009E57B8"/>
    <w:rsid w:val="00A03191"/>
    <w:rsid w:val="00A21818"/>
    <w:rsid w:val="00A23C5D"/>
    <w:rsid w:val="00A646FE"/>
    <w:rsid w:val="00A85DD8"/>
    <w:rsid w:val="00A8637C"/>
    <w:rsid w:val="00AB5405"/>
    <w:rsid w:val="00AC16E4"/>
    <w:rsid w:val="00AC533B"/>
    <w:rsid w:val="00AD0FA0"/>
    <w:rsid w:val="00AD14E4"/>
    <w:rsid w:val="00AD57E5"/>
    <w:rsid w:val="00AE550F"/>
    <w:rsid w:val="00AF3B33"/>
    <w:rsid w:val="00B04435"/>
    <w:rsid w:val="00B269B2"/>
    <w:rsid w:val="00B31169"/>
    <w:rsid w:val="00B40756"/>
    <w:rsid w:val="00B473A5"/>
    <w:rsid w:val="00B60C9A"/>
    <w:rsid w:val="00B61694"/>
    <w:rsid w:val="00B64D9E"/>
    <w:rsid w:val="00B66FEE"/>
    <w:rsid w:val="00B67C15"/>
    <w:rsid w:val="00B76462"/>
    <w:rsid w:val="00B925C4"/>
    <w:rsid w:val="00B959E6"/>
    <w:rsid w:val="00B97BAC"/>
    <w:rsid w:val="00BA008F"/>
    <w:rsid w:val="00BA00FF"/>
    <w:rsid w:val="00BB3E91"/>
    <w:rsid w:val="00BC0155"/>
    <w:rsid w:val="00BD4AB3"/>
    <w:rsid w:val="00BF33EA"/>
    <w:rsid w:val="00C029CC"/>
    <w:rsid w:val="00C0384C"/>
    <w:rsid w:val="00C1174C"/>
    <w:rsid w:val="00C12838"/>
    <w:rsid w:val="00C17785"/>
    <w:rsid w:val="00C46677"/>
    <w:rsid w:val="00C544D2"/>
    <w:rsid w:val="00C75D25"/>
    <w:rsid w:val="00C835B6"/>
    <w:rsid w:val="00C942D7"/>
    <w:rsid w:val="00CA1D0E"/>
    <w:rsid w:val="00CB01D8"/>
    <w:rsid w:val="00CB649D"/>
    <w:rsid w:val="00CC67BD"/>
    <w:rsid w:val="00CD0CF8"/>
    <w:rsid w:val="00CD3DAF"/>
    <w:rsid w:val="00CE165F"/>
    <w:rsid w:val="00CF0706"/>
    <w:rsid w:val="00D0129A"/>
    <w:rsid w:val="00D01CE3"/>
    <w:rsid w:val="00D16510"/>
    <w:rsid w:val="00D17BB9"/>
    <w:rsid w:val="00D24E8B"/>
    <w:rsid w:val="00D52D6D"/>
    <w:rsid w:val="00D620F8"/>
    <w:rsid w:val="00D6691B"/>
    <w:rsid w:val="00D73F77"/>
    <w:rsid w:val="00D816CB"/>
    <w:rsid w:val="00D8181F"/>
    <w:rsid w:val="00D9052E"/>
    <w:rsid w:val="00DA4C31"/>
    <w:rsid w:val="00DC4F29"/>
    <w:rsid w:val="00DE5206"/>
    <w:rsid w:val="00DE5CB3"/>
    <w:rsid w:val="00DE5D40"/>
    <w:rsid w:val="00DF1F31"/>
    <w:rsid w:val="00E0388D"/>
    <w:rsid w:val="00E0400B"/>
    <w:rsid w:val="00E11560"/>
    <w:rsid w:val="00E21424"/>
    <w:rsid w:val="00E22C89"/>
    <w:rsid w:val="00E41EE1"/>
    <w:rsid w:val="00E53D0C"/>
    <w:rsid w:val="00E66E11"/>
    <w:rsid w:val="00E844BC"/>
    <w:rsid w:val="00E942D9"/>
    <w:rsid w:val="00EB3FB0"/>
    <w:rsid w:val="00EB4110"/>
    <w:rsid w:val="00EF369B"/>
    <w:rsid w:val="00F10CF9"/>
    <w:rsid w:val="00F2368E"/>
    <w:rsid w:val="00F36B01"/>
    <w:rsid w:val="00F67F8B"/>
    <w:rsid w:val="00F7554A"/>
    <w:rsid w:val="00F75E36"/>
    <w:rsid w:val="00F7641E"/>
    <w:rsid w:val="00F80252"/>
    <w:rsid w:val="00F97003"/>
    <w:rsid w:val="00FA759E"/>
    <w:rsid w:val="00FA7929"/>
    <w:rsid w:val="00FC0BD1"/>
    <w:rsid w:val="00FC0F70"/>
    <w:rsid w:val="00FD41F8"/>
    <w:rsid w:val="00FE5EB5"/>
    <w:rsid w:val="00FE62CE"/>
    <w:rsid w:val="00FF0485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32DF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9153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46F4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6F4F"/>
  </w:style>
  <w:style w:type="paragraph" w:styleId="Noga">
    <w:name w:val="footer"/>
    <w:basedOn w:val="Navaden"/>
    <w:link w:val="NogaZnak"/>
    <w:uiPriority w:val="99"/>
    <w:unhideWhenUsed/>
    <w:rsid w:val="00346F4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346F4F"/>
  </w:style>
  <w:style w:type="paragraph" w:styleId="Besedilooblaka">
    <w:name w:val="Balloon Text"/>
    <w:basedOn w:val="Navaden"/>
    <w:link w:val="BesedilooblakaZnak"/>
    <w:semiHidden/>
    <w:rsid w:val="00AE550F"/>
    <w:pPr>
      <w:jc w:val="both"/>
    </w:pPr>
    <w:rPr>
      <w:rFonts w:ascii="Tahoma" w:eastAsia="Times New Roman" w:hAnsi="Tahoma" w:cs="Tahoma"/>
      <w:sz w:val="16"/>
      <w:szCs w:val="16"/>
      <w:lang w:val="sl-SI" w:eastAsia="en-US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E550F"/>
    <w:rPr>
      <w:rFonts w:ascii="Tahoma" w:eastAsia="Times New Roman" w:hAnsi="Tahoma" w:cs="Tahoma"/>
      <w:sz w:val="16"/>
      <w:szCs w:val="16"/>
      <w:lang w:val="sl-SI" w:eastAsia="en-US"/>
    </w:rPr>
  </w:style>
  <w:style w:type="paragraph" w:styleId="Napis">
    <w:name w:val="caption"/>
    <w:basedOn w:val="Navaden"/>
    <w:next w:val="Navaden"/>
    <w:qFormat/>
    <w:rsid w:val="00AE550F"/>
    <w:pPr>
      <w:jc w:val="center"/>
    </w:pPr>
    <w:rPr>
      <w:rFonts w:ascii="Arial (W1)" w:eastAsia="Times New Roman" w:hAnsi="Arial (W1)" w:cs="Times New Roman"/>
      <w:b/>
      <w:color w:val="3366FF"/>
      <w:spacing w:val="340"/>
      <w:sz w:val="32"/>
      <w:szCs w:val="32"/>
      <w:lang w:val="sl-SI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vadensplet">
    <w:name w:val="Normal (Web)"/>
    <w:basedOn w:val="Navaden"/>
    <w:uiPriority w:val="99"/>
    <w:semiHidden/>
    <w:unhideWhenUsed/>
    <w:rsid w:val="001A58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BasicParagraph">
    <w:name w:val="[Basic Paragraph]"/>
    <w:basedOn w:val="Navaden"/>
    <w:uiPriority w:val="99"/>
    <w:rsid w:val="007F743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Naslov1Znak">
    <w:name w:val="Naslov 1 Znak"/>
    <w:basedOn w:val="Privzetapisavaodstavka"/>
    <w:link w:val="Naslov1"/>
    <w:rsid w:val="00915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6F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16E0"/>
    <w:pPr>
      <w:ind w:left="720"/>
      <w:contextualSpacing/>
    </w:pPr>
  </w:style>
  <w:style w:type="paragraph" w:customStyle="1" w:styleId="Pa9">
    <w:name w:val="Pa9"/>
    <w:basedOn w:val="Navaden"/>
    <w:next w:val="Navaden"/>
    <w:uiPriority w:val="99"/>
    <w:rsid w:val="006F16E0"/>
    <w:pPr>
      <w:autoSpaceDE w:val="0"/>
      <w:autoSpaceDN w:val="0"/>
      <w:adjustRightInd w:val="0"/>
      <w:spacing w:line="241" w:lineRule="atLeast"/>
    </w:pPr>
    <w:rPr>
      <w:rFonts w:ascii="Avenir LT Std 35 Light" w:hAnsi="Avenir LT Std 35 Light"/>
      <w:lang w:val="sl-SI"/>
    </w:rPr>
  </w:style>
  <w:style w:type="character" w:customStyle="1" w:styleId="A8">
    <w:name w:val="A8"/>
    <w:uiPriority w:val="99"/>
    <w:rsid w:val="006F16E0"/>
    <w:rPr>
      <w:rFonts w:cs="Avenir LT Std 35 Light"/>
      <w:color w:val="000000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961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618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618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61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6180"/>
    <w:rPr>
      <w:b/>
      <w:bC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B76462"/>
    <w:rPr>
      <w:vertAlign w:val="superscript"/>
    </w:rPr>
  </w:style>
  <w:style w:type="paragraph" w:styleId="Telobesedila">
    <w:name w:val="Body Text"/>
    <w:basedOn w:val="Navaden"/>
    <w:link w:val="TelobesedilaZnak"/>
    <w:rsid w:val="00B76462"/>
    <w:pPr>
      <w:spacing w:line="260" w:lineRule="atLeast"/>
      <w:jc w:val="both"/>
    </w:pPr>
    <w:rPr>
      <w:rFonts w:eastAsia="Times New Roman" w:cstheme="minorHAnsi"/>
      <w:sz w:val="22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B76462"/>
    <w:rPr>
      <w:rFonts w:eastAsia="Times New Roman" w:cstheme="minorHAnsi"/>
      <w:sz w:val="22"/>
      <w:szCs w:val="22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76462"/>
    <w:pPr>
      <w:tabs>
        <w:tab w:val="left" w:pos="425"/>
      </w:tabs>
      <w:spacing w:after="60"/>
      <w:ind w:left="425" w:hanging="425"/>
      <w:jc w:val="both"/>
    </w:pPr>
    <w:rPr>
      <w:rFonts w:eastAsia="Times New Roman" w:cstheme="minorHAnsi"/>
      <w:i/>
      <w:sz w:val="20"/>
      <w:szCs w:val="22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76462"/>
    <w:rPr>
      <w:rFonts w:eastAsia="Times New Roman" w:cstheme="minorHAnsi"/>
      <w:i/>
      <w:sz w:val="20"/>
      <w:szCs w:val="22"/>
      <w:lang w:val="sl-SI" w:eastAsia="sl-SI"/>
    </w:rPr>
  </w:style>
  <w:style w:type="paragraph" w:styleId="Citat">
    <w:name w:val="Quote"/>
    <w:basedOn w:val="Sprotnaopomba-besedilo"/>
    <w:next w:val="Navaden"/>
    <w:link w:val="CitatZnak"/>
    <w:uiPriority w:val="29"/>
    <w:qFormat/>
    <w:rsid w:val="00B76462"/>
    <w:rPr>
      <w:i w:val="0"/>
      <w:szCs w:val="20"/>
    </w:rPr>
  </w:style>
  <w:style w:type="character" w:customStyle="1" w:styleId="CitatZnak">
    <w:name w:val="Citat Znak"/>
    <w:basedOn w:val="Privzetapisavaodstavka"/>
    <w:link w:val="Citat"/>
    <w:uiPriority w:val="29"/>
    <w:rsid w:val="00B76462"/>
    <w:rPr>
      <w:rFonts w:eastAsia="Times New Roman" w:cstheme="minorHAnsi"/>
      <w:sz w:val="20"/>
      <w:szCs w:val="20"/>
      <w:lang w:val="sl-SI" w:eastAsia="sl-SI"/>
    </w:rPr>
  </w:style>
  <w:style w:type="paragraph" w:customStyle="1" w:styleId="Poudarekinformacija">
    <w:name w:val="Poudarek informacija"/>
    <w:basedOn w:val="Navaden"/>
    <w:link w:val="PoudarekinformacijaZnak"/>
    <w:qFormat/>
    <w:rsid w:val="00282291"/>
    <w:pPr>
      <w:spacing w:line="360" w:lineRule="auto"/>
      <w:jc w:val="both"/>
    </w:pPr>
    <w:rPr>
      <w:rFonts w:eastAsiaTheme="minorHAnsi"/>
      <w:b/>
      <w:color w:val="053B9F"/>
      <w:szCs w:val="22"/>
      <w:lang w:val="sl-SI" w:eastAsia="en-US"/>
    </w:rPr>
  </w:style>
  <w:style w:type="character" w:customStyle="1" w:styleId="PoudarekinformacijaZnak">
    <w:name w:val="Poudarek informacija Znak"/>
    <w:basedOn w:val="Privzetapisavaodstavka"/>
    <w:link w:val="Poudarekinformacija"/>
    <w:rsid w:val="00282291"/>
    <w:rPr>
      <w:rFonts w:eastAsiaTheme="minorHAnsi"/>
      <w:b/>
      <w:color w:val="053B9F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5dc451-937a-47a7-95da-4af4a96d5986">5ZMNEFAUS7KH-2103829056-16</_dlc_DocId>
    <Vrsta_x0020_dokumenta xmlns="547c0ba1-0985-4469-b408-ef4ce7cb5653">Dopis</Vrsta_x0020_dokumenta>
    <_dlc_DocIdUrl xmlns="a55dc451-937a-47a7-95da-4af4a96d5986">
      <Url>http://ajda2.ajpes.si/Razno/CGP/_layouts/15/DocIdRedir.aspx?ID=5ZMNEFAUS7KH-2103829056-16</Url>
      <Description>5ZMNEFAUS7KH-2103829056-16</Description>
    </_dlc_DocIdUrl>
    <Za_x0020_uporabo_x0020_v xmlns="547c0ba1-0985-4469-b408-ef4ce7cb5653">0500 - Izpostava Kranj</Za_x0020_uporabo_x0020_v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34878C3D57646A4A336AF4505FB34" ma:contentTypeVersion="3" ma:contentTypeDescription="Ustvari nov dokument." ma:contentTypeScope="" ma:versionID="31ee6dd25cdef4accc2ac40cf7686739">
  <xsd:schema xmlns:xsd="http://www.w3.org/2001/XMLSchema" xmlns:xs="http://www.w3.org/2001/XMLSchema" xmlns:p="http://schemas.microsoft.com/office/2006/metadata/properties" xmlns:ns2="a55dc451-937a-47a7-95da-4af4a96d5986" xmlns:ns3="547c0ba1-0985-4469-b408-ef4ce7cb5653" targetNamespace="http://schemas.microsoft.com/office/2006/metadata/properties" ma:root="true" ma:fieldsID="c855a3e166a98079e381214c447eec62" ns2:_="" ns3:_="">
    <xsd:import namespace="a55dc451-937a-47a7-95da-4af4a96d5986"/>
    <xsd:import namespace="547c0ba1-0985-4469-b408-ef4ce7cb56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rsta_x0020_dokumenta" minOccurs="0"/>
                <xsd:element ref="ns3:Za_x0020_uporabo_x0020_v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dc451-937a-47a7-95da-4af4a96d59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0ba1-0985-4469-b408-ef4ce7cb5653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11" nillable="true" ma:displayName="Vrsta dokumenta" ma:format="Dropdown" ma:internalName="Vrsta_x0020_dokumenta">
      <xsd:simpleType>
        <xsd:union memberTypes="dms:Text">
          <xsd:simpleType>
            <xsd:restriction base="dms:Choice">
              <xsd:enumeration value="Dopis"/>
              <xsd:enumeration value="E-pošta"/>
              <xsd:enumeration value="Excel"/>
              <xsd:enumeration value="Kuverta"/>
              <xsd:enumeration value="PowerPoint"/>
            </xsd:restriction>
          </xsd:simpleType>
        </xsd:union>
      </xsd:simpleType>
    </xsd:element>
    <xsd:element name="Za_x0020_uporabo_x0020_v" ma:index="12" nillable="true" ma:displayName="Za uporabo v" ma:format="Dropdown" ma:internalName="Za_x0020_uporabo_x0020_v">
      <xsd:simpleType>
        <xsd:restriction base="dms:Choice">
          <xsd:enumeration value="AJPES"/>
          <xsd:enumeration value="0100 - Centrala Ljubljana"/>
          <xsd:enumeration value="0200 - Izpostava Ljubljana"/>
          <xsd:enumeration value="0300 - Izpostava Celje"/>
          <xsd:enumeration value="0400 - Izpostava Koper"/>
          <xsd:enumeration value="0500 - Izpostava Kranj"/>
          <xsd:enumeration value="0600 - Izpostava Krško"/>
          <xsd:enumeration value="0700 - Izpostava Maribor"/>
          <xsd:enumeration value="0800 - Izpostava Murska Sobota"/>
          <xsd:enumeration value="0900 - Izpostava Nova Gorica"/>
          <xsd:enumeration value="1000 - Izpostava Novo mesto"/>
          <xsd:enumeration value="1100 - Izpostava Postojna"/>
          <xsd:enumeration value="1200 - Izpostava Trbovlje"/>
          <xsd:enumeration value="1300 - Izpostava Velenj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B58647-B05D-43D3-BC1E-D8AECEF29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C25FA-13D3-4763-BE6C-6BA15B10A926}">
  <ds:schemaRefs>
    <ds:schemaRef ds:uri="http://purl.org/dc/terms/"/>
    <ds:schemaRef ds:uri="547c0ba1-0985-4469-b408-ef4ce7cb565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55dc451-937a-47a7-95da-4af4a96d598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0EBF6A-ED41-4239-8AA1-1742722F7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CADCB-4444-46F4-84F1-83FCDDC73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dc451-937a-47a7-95da-4af4a96d5986"/>
    <ds:schemaRef ds:uri="547c0ba1-0985-4469-b408-ef4ce7cb5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DB7BC8-EC4E-4348-8731-8908DB15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1496</Words>
  <Characters>8533</Characters>
  <Application>Microsoft Office Word</Application>
  <DocSecurity>4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2023-06-06T07:27:00Z</dcterms:created>
  <dcterms:modified xsi:type="dcterms:W3CDTF">2023-06-06T07:27:00Z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-2043441640</vt:i4>
  </property>
  <property fmtid="{D5CDD505-2E9C-101B-9397-08002B2CF9AE}" pid="3" name="ContentTypeId">
    <vt:lpwstr>0x01010071A34878C3D57646A4A336AF4505FB34</vt:lpwstr>
  </property>
  <property fmtid="{D5CDD505-2E9C-101B-9397-08002B2CF9AE}" pid="4" name="_dlc_DocIdItemGuid">
    <vt:lpwstr>e4f8d714-6e16-4005-b75b-ec805f7211c1</vt:lpwstr>
  </property>
</Properties>
</file>